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4B5435" w:rsidRDefault="00F07D59" w:rsidP="00FD4E44">
            <w:pPr>
              <w:rPr>
                <w:rFonts w:asciiTheme="majorHAnsi" w:hAnsiTheme="majorHAnsi" w:cstheme="majorHAnsi"/>
                <w:highlight w:val="yellow"/>
                <w:lang w:val="pl-PL"/>
              </w:rPr>
            </w:pPr>
            <w:r w:rsidRPr="00D43FF6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D43FF6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5983A41B" w:rsidR="0044797C" w:rsidRPr="00F07D59" w:rsidRDefault="00B52CC1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3708AF2D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6D0A32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4AA1D9D7" w:rsidR="004B726D" w:rsidRPr="009F1320" w:rsidRDefault="00B52CC1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19C770D6" w:rsidR="0044797C" w:rsidRPr="00F07D59" w:rsidRDefault="00CA693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Opracowywanie zaleceń nawozowych dla gleb użytkowanych sadowniczo</w:t>
            </w:r>
            <w:r w:rsidR="006B3677">
              <w:rPr>
                <w:rFonts w:asciiTheme="majorHAnsi" w:hAnsiTheme="majorHAnsi" w:cstheme="majorHAnsi"/>
                <w:lang w:val="pl-PL"/>
              </w:rPr>
              <w:t xml:space="preserve"> przed założeniem plantacji i w trakcie jej użytkowania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1EB68DB1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46E59162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 w:rsidRPr="00D43FF6">
              <w:rPr>
                <w:rFonts w:asciiTheme="majorHAnsi" w:hAnsiTheme="majorHAnsi" w:cstheme="majorHAnsi"/>
                <w:lang w:val="pl-PL"/>
              </w:rPr>
              <w:t>18</w:t>
            </w:r>
            <w:r w:rsidR="00406DA8" w:rsidRPr="00D43FF6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50F3D025" w:rsidR="008D14B4" w:rsidRPr="00F07D59" w:rsidRDefault="00D0714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Zalecenia nawozowe </w:t>
            </w:r>
            <w:r w:rsidR="00CA6930">
              <w:rPr>
                <w:rFonts w:asciiTheme="majorHAnsi" w:hAnsiTheme="majorHAnsi" w:cstheme="majorHAnsi"/>
                <w:lang w:val="pl-PL"/>
              </w:rPr>
              <w:t>przed założeniem plantacji wieloletnich oraz w trakcie użytkowania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649F2892" w:rsidR="006C1D95" w:rsidRPr="00F07D59" w:rsidRDefault="008B07F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</w:t>
            </w:r>
            <w:r w:rsidRPr="008B07FF">
              <w:rPr>
                <w:rFonts w:asciiTheme="majorHAnsi" w:hAnsiTheme="majorHAnsi" w:cstheme="majorHAnsi"/>
                <w:lang w:val="pl-PL"/>
              </w:rPr>
              <w:t>apozn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się z pojęciem liczb</w:t>
            </w:r>
            <w:r>
              <w:rPr>
                <w:rFonts w:asciiTheme="majorHAnsi" w:hAnsiTheme="majorHAnsi" w:cstheme="majorHAnsi"/>
                <w:lang w:val="pl-PL"/>
              </w:rPr>
              <w:t xml:space="preserve"> granicznych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CA6930">
              <w:rPr>
                <w:rFonts w:asciiTheme="majorHAnsi" w:hAnsiTheme="majorHAnsi" w:cstheme="majorHAnsi"/>
                <w:lang w:val="pl-PL"/>
              </w:rPr>
              <w:t xml:space="preserve">i zawartości wskaźnikowych 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="00CA6930">
              <w:rPr>
                <w:rFonts w:asciiTheme="majorHAnsi" w:hAnsiTheme="majorHAnsi" w:cstheme="majorHAnsi"/>
                <w:lang w:val="pl-PL"/>
              </w:rPr>
              <w:t>nawożeniu gleby</w:t>
            </w:r>
            <w:r w:rsidR="00B82340">
              <w:rPr>
                <w:rFonts w:asciiTheme="majorHAnsi" w:hAnsiTheme="majorHAnsi" w:cstheme="majorHAnsi"/>
                <w:lang w:val="pl-PL"/>
              </w:rPr>
              <w:t xml:space="preserve"> w zależności od metody jej analizy</w:t>
            </w:r>
            <w:r w:rsidR="002B6BD2">
              <w:rPr>
                <w:rFonts w:asciiTheme="majorHAnsi" w:hAnsiTheme="majorHAnsi" w:cstheme="majorHAnsi"/>
                <w:lang w:val="pl-PL"/>
              </w:rPr>
              <w:t xml:space="preserve"> (metoda </w:t>
            </w:r>
            <w:proofErr w:type="spellStart"/>
            <w:r w:rsidR="002B6BD2">
              <w:rPr>
                <w:rFonts w:asciiTheme="majorHAnsi" w:hAnsiTheme="majorHAnsi" w:cstheme="majorHAnsi"/>
                <w:lang w:val="pl-PL"/>
              </w:rPr>
              <w:t>Egnera-Riehma</w:t>
            </w:r>
            <w:proofErr w:type="spellEnd"/>
            <w:r w:rsidR="002B6BD2">
              <w:rPr>
                <w:rFonts w:asciiTheme="majorHAnsi" w:hAnsiTheme="majorHAnsi" w:cstheme="majorHAnsi"/>
                <w:lang w:val="pl-PL"/>
              </w:rPr>
              <w:t xml:space="preserve"> vs metoda uniwersalna</w:t>
            </w:r>
            <w:r w:rsidR="00C44478">
              <w:rPr>
                <w:rFonts w:asciiTheme="majorHAnsi" w:hAnsiTheme="majorHAnsi" w:cstheme="majorHAnsi"/>
                <w:lang w:val="pl-PL"/>
              </w:rPr>
              <w:t>)</w:t>
            </w:r>
            <w:r w:rsidR="00CA6930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i ich znaczenie w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CA6930">
              <w:rPr>
                <w:rFonts w:asciiTheme="majorHAnsi" w:hAnsiTheme="majorHAnsi" w:cstheme="majorHAnsi"/>
                <w:lang w:val="pl-PL"/>
              </w:rPr>
              <w:t>kontrolowanym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żywieniu roślin</w:t>
            </w:r>
            <w:r w:rsidR="00CA6930">
              <w:rPr>
                <w:rFonts w:asciiTheme="majorHAnsi" w:hAnsiTheme="majorHAnsi" w:cstheme="majorHAnsi"/>
                <w:lang w:val="pl-PL"/>
              </w:rPr>
              <w:t xml:space="preserve"> sadowniczych</w:t>
            </w:r>
            <w:r w:rsidRPr="008B07FF">
              <w:rPr>
                <w:rFonts w:asciiTheme="majorHAnsi" w:hAnsiTheme="majorHAnsi" w:cstheme="majorHAnsi"/>
                <w:lang w:val="pl-PL"/>
              </w:rPr>
              <w:t>. Opracow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zalece</w:t>
            </w:r>
            <w:r>
              <w:rPr>
                <w:rFonts w:asciiTheme="majorHAnsi" w:hAnsiTheme="majorHAnsi" w:cstheme="majorHAnsi"/>
                <w:lang w:val="pl-PL"/>
              </w:rPr>
              <w:t xml:space="preserve">ń </w:t>
            </w:r>
            <w:r w:rsidRPr="008B07FF">
              <w:rPr>
                <w:rFonts w:asciiTheme="majorHAnsi" w:hAnsiTheme="majorHAnsi" w:cstheme="majorHAnsi"/>
                <w:lang w:val="pl-PL"/>
              </w:rPr>
              <w:t>nawozow</w:t>
            </w:r>
            <w:r>
              <w:rPr>
                <w:rFonts w:asciiTheme="majorHAnsi" w:hAnsiTheme="majorHAnsi" w:cstheme="majorHAnsi"/>
                <w:lang w:val="pl-PL"/>
              </w:rPr>
              <w:t>ych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dla </w:t>
            </w:r>
            <w:r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 w:rsidR="00CA6930">
              <w:rPr>
                <w:rFonts w:asciiTheme="majorHAnsi" w:hAnsiTheme="majorHAnsi" w:cstheme="majorHAnsi"/>
                <w:lang w:val="pl-PL"/>
              </w:rPr>
              <w:t>sadowniczych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CA6930">
              <w:rPr>
                <w:rFonts w:asciiTheme="majorHAnsi" w:hAnsiTheme="majorHAnsi" w:cstheme="majorHAnsi"/>
                <w:lang w:val="pl-PL"/>
              </w:rPr>
              <w:t>z</w:t>
            </w:r>
            <w:r w:rsidR="00563039">
              <w:rPr>
                <w:rFonts w:asciiTheme="majorHAnsi" w:hAnsiTheme="majorHAnsi" w:cstheme="majorHAnsi"/>
                <w:lang w:val="pl-PL"/>
              </w:rPr>
              <w:t xml:space="preserve"> wykorzystaniem </w:t>
            </w:r>
            <w:r w:rsidRPr="008B07FF">
              <w:rPr>
                <w:rFonts w:asciiTheme="majorHAnsi" w:hAnsiTheme="majorHAnsi" w:cstheme="majorHAnsi"/>
                <w:lang w:val="pl-PL"/>
              </w:rPr>
              <w:t>wynik</w:t>
            </w:r>
            <w:r w:rsidR="00563039">
              <w:rPr>
                <w:rFonts w:asciiTheme="majorHAnsi" w:hAnsiTheme="majorHAnsi" w:cstheme="majorHAnsi"/>
                <w:lang w:val="pl-PL"/>
              </w:rPr>
              <w:t xml:space="preserve">ów </w:t>
            </w:r>
            <w:r w:rsidRPr="008B07FF">
              <w:rPr>
                <w:rFonts w:asciiTheme="majorHAnsi" w:hAnsiTheme="majorHAnsi" w:cstheme="majorHAnsi"/>
                <w:lang w:val="pl-PL"/>
              </w:rPr>
              <w:t>analiz chemicznych</w:t>
            </w:r>
            <w:r w:rsidR="00563039">
              <w:rPr>
                <w:rFonts w:asciiTheme="majorHAnsi" w:hAnsiTheme="majorHAnsi" w:cstheme="majorHAnsi"/>
                <w:lang w:val="pl-PL"/>
              </w:rPr>
              <w:t xml:space="preserve"> gleby, materiału roślinnego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oraz kierując się kryteriami takimi jak: jakość plonu,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wpływ na środowisko oraz względy ekonomiczne.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03E619BE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</w:t>
            </w:r>
            <w:r w:rsidR="00540F9A">
              <w:rPr>
                <w:rFonts w:asciiTheme="majorHAnsi" w:hAnsiTheme="majorHAnsi" w:cstheme="majorHAnsi"/>
                <w:lang w:val="pl-PL"/>
              </w:rPr>
              <w:t>, tablica</w:t>
            </w:r>
            <w:r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lastRenderedPageBreak/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7FE81ADD" w14:textId="77777777" w:rsidTr="007C4DE5">
        <w:tc>
          <w:tcPr>
            <w:tcW w:w="3539" w:type="dxa"/>
          </w:tcPr>
          <w:p w14:paraId="251A4934" w14:textId="46D52D4A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 w:rsidR="00F51173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5091" w:type="dxa"/>
          </w:tcPr>
          <w:p w14:paraId="7C771831" w14:textId="13C7099B" w:rsidR="003F6B02" w:rsidRPr="00F07D59" w:rsidRDefault="00FD58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Zasady opracowywania zaleceń nawozowych </w:t>
            </w:r>
            <w:r w:rsidR="00563039">
              <w:rPr>
                <w:rFonts w:asciiTheme="majorHAnsi" w:hAnsiTheme="majorHAnsi" w:cstheme="majorHAnsi"/>
                <w:lang w:val="pl-PL"/>
              </w:rPr>
              <w:t>przed założeniem plantacji roślin wieloletnich</w:t>
            </w:r>
            <w:r w:rsidR="00D43FF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085B5F27" w:rsidR="005143E8" w:rsidRPr="00F07D59" w:rsidRDefault="00E4584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144A81EA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 w:rsidR="00F51173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5091" w:type="dxa"/>
          </w:tcPr>
          <w:p w14:paraId="19AF80C2" w14:textId="5EC878E4" w:rsidR="00B965CF" w:rsidRDefault="003F6B02" w:rsidP="005066E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FD5896">
              <w:rPr>
                <w:rFonts w:asciiTheme="majorHAnsi" w:hAnsiTheme="majorHAnsi" w:cstheme="majorHAnsi"/>
                <w:lang w:val="pl-PL"/>
              </w:rPr>
              <w:t xml:space="preserve">zasad </w:t>
            </w:r>
            <w:r w:rsidR="00B965CF">
              <w:rPr>
                <w:rFonts w:asciiTheme="majorHAnsi" w:hAnsiTheme="majorHAnsi" w:cstheme="majorHAnsi"/>
                <w:lang w:val="pl-PL"/>
              </w:rPr>
              <w:t xml:space="preserve">nawożenia </w:t>
            </w:r>
            <w:r w:rsidR="00563039">
              <w:rPr>
                <w:rFonts w:asciiTheme="majorHAnsi" w:hAnsiTheme="majorHAnsi" w:cstheme="majorHAnsi"/>
                <w:lang w:val="pl-PL"/>
              </w:rPr>
              <w:t>na podstawie</w:t>
            </w:r>
            <w:r w:rsidR="00B965CF">
              <w:rPr>
                <w:rFonts w:asciiTheme="majorHAnsi" w:hAnsiTheme="majorHAnsi" w:cstheme="majorHAnsi"/>
                <w:lang w:val="pl-PL"/>
              </w:rPr>
              <w:t>:</w:t>
            </w:r>
          </w:p>
          <w:p w14:paraId="0B327B47" w14:textId="0FB0F0D1" w:rsidR="0065545B" w:rsidRDefault="00563039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</w:t>
            </w:r>
            <w:r w:rsidR="00FD5896" w:rsidRPr="00B965CF">
              <w:rPr>
                <w:rFonts w:asciiTheme="majorHAnsi" w:hAnsiTheme="majorHAnsi" w:cstheme="majorHAnsi"/>
                <w:lang w:val="pl-PL"/>
              </w:rPr>
              <w:t>yni</w:t>
            </w:r>
            <w:r>
              <w:rPr>
                <w:rFonts w:asciiTheme="majorHAnsi" w:hAnsiTheme="majorHAnsi" w:cstheme="majorHAnsi"/>
                <w:lang w:val="pl-PL"/>
              </w:rPr>
              <w:t xml:space="preserve">ków </w:t>
            </w:r>
            <w:r w:rsidR="00FD5896" w:rsidRPr="00B965CF">
              <w:rPr>
                <w:rFonts w:asciiTheme="majorHAnsi" w:hAnsiTheme="majorHAnsi" w:cstheme="majorHAnsi"/>
                <w:lang w:val="pl-PL"/>
              </w:rPr>
              <w:t xml:space="preserve">analizy chemicznej gleby </w:t>
            </w:r>
            <w:r>
              <w:rPr>
                <w:rFonts w:asciiTheme="majorHAnsi" w:hAnsiTheme="majorHAnsi" w:cstheme="majorHAnsi"/>
                <w:lang w:val="pl-PL"/>
              </w:rPr>
              <w:t>planowanej pod założenie plantacji</w:t>
            </w:r>
            <w:r w:rsidR="00B82340">
              <w:rPr>
                <w:rFonts w:asciiTheme="majorHAnsi" w:hAnsiTheme="majorHAnsi" w:cstheme="majorHAnsi"/>
                <w:lang w:val="pl-PL"/>
              </w:rPr>
              <w:t xml:space="preserve"> lub w trakcie użytkowania</w:t>
            </w:r>
            <w:r w:rsidR="00D43FF6"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45635EF1" w14:textId="20AE4E3F" w:rsidR="00B82340" w:rsidRDefault="00B82340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wyników analizy chemicznej materiału roślinnego (części wskaźnikowych)</w:t>
            </w:r>
            <w:r w:rsidR="00D43FF6"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59D9CE92" w14:textId="08E20994" w:rsidR="003F6B02" w:rsidRPr="00B965CF" w:rsidRDefault="00B82340" w:rsidP="00B965CF">
            <w:pPr>
              <w:pStyle w:val="Akapitzlist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znaczenia dla zaleceń</w:t>
            </w:r>
            <w:r w:rsidR="008B07F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563039">
              <w:rPr>
                <w:rFonts w:asciiTheme="majorHAnsi" w:hAnsiTheme="majorHAnsi" w:cstheme="majorHAnsi"/>
                <w:lang w:val="pl-PL"/>
              </w:rPr>
              <w:t xml:space="preserve">rodzaju gleby na podstawie </w:t>
            </w:r>
            <w:r>
              <w:rPr>
                <w:rFonts w:asciiTheme="majorHAnsi" w:hAnsiTheme="majorHAnsi" w:cstheme="majorHAnsi"/>
                <w:lang w:val="pl-PL"/>
              </w:rPr>
              <w:t xml:space="preserve">jej </w:t>
            </w:r>
            <w:r w:rsidR="00563039">
              <w:rPr>
                <w:rFonts w:asciiTheme="majorHAnsi" w:hAnsiTheme="majorHAnsi" w:cstheme="majorHAnsi"/>
                <w:lang w:val="pl-PL"/>
              </w:rPr>
              <w:t>składu granulometrycznego</w:t>
            </w:r>
            <w:r w:rsidR="00D43FF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438CC9DB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 w:rsidR="00F51173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5091" w:type="dxa"/>
          </w:tcPr>
          <w:p w14:paraId="180DC425" w14:textId="253B1BA7" w:rsidR="000B40D9" w:rsidRPr="00F07D59" w:rsidRDefault="00B8234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Opracowywanie zaleceń dla gleb użytkowanych sadowniczo przed założeniem plantacji i w sadach rosnących</w:t>
            </w:r>
            <w:r w:rsidR="00D43FF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09A92730" w:rsidR="000B40D9" w:rsidRPr="00F07D59" w:rsidRDefault="00A9497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12</w:t>
            </w:r>
            <w:r w:rsidR="00F51173">
              <w:rPr>
                <w:rFonts w:asciiTheme="majorHAnsi" w:hAnsiTheme="majorHAnsi" w:cstheme="majorHAnsi"/>
                <w:lang w:val="pl-PL"/>
              </w:rPr>
              <w:t>0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0B40D9" w:rsidRPr="00B70101" w14:paraId="234A9F21" w14:textId="77777777" w:rsidTr="007C4DE5">
        <w:tc>
          <w:tcPr>
            <w:tcW w:w="3539" w:type="dxa"/>
          </w:tcPr>
          <w:p w14:paraId="7DBD1445" w14:textId="3029EB94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 w:rsidR="00F51173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5091" w:type="dxa"/>
          </w:tcPr>
          <w:p w14:paraId="1413E853" w14:textId="4AB4B49D" w:rsidR="00BD2CEE" w:rsidRPr="00BD2CEE" w:rsidRDefault="00522900" w:rsidP="00BD2CE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Wydanie zaleceń nawozowych dla trzech różnych </w:t>
            </w:r>
            <w:r w:rsidR="00B82340">
              <w:rPr>
                <w:rFonts w:asciiTheme="majorHAnsi" w:hAnsiTheme="majorHAnsi" w:cstheme="majorHAnsi"/>
                <w:lang w:val="pl-PL"/>
              </w:rPr>
              <w:t xml:space="preserve">wariantów </w:t>
            </w:r>
            <w:r w:rsidR="00BD2CEE" w:rsidRPr="00BD2CEE">
              <w:rPr>
                <w:rFonts w:asciiTheme="majorHAnsi" w:hAnsiTheme="majorHAnsi" w:cstheme="majorHAnsi"/>
                <w:lang w:val="pl-PL"/>
              </w:rPr>
              <w:t>w oparciu o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82340">
              <w:rPr>
                <w:rFonts w:asciiTheme="majorHAnsi" w:hAnsiTheme="majorHAnsi" w:cstheme="majorHAnsi"/>
                <w:lang w:val="pl-PL"/>
              </w:rPr>
              <w:t xml:space="preserve">zasady </w:t>
            </w:r>
            <w:r w:rsidR="0065545B">
              <w:rPr>
                <w:rFonts w:asciiTheme="majorHAnsi" w:hAnsiTheme="majorHAnsi" w:cstheme="majorHAnsi"/>
                <w:lang w:val="pl-PL"/>
              </w:rPr>
              <w:t>omówione w za</w:t>
            </w:r>
            <w:r w:rsidR="00D43FF6">
              <w:rPr>
                <w:rFonts w:asciiTheme="majorHAnsi" w:hAnsiTheme="majorHAnsi" w:cstheme="majorHAnsi"/>
                <w:lang w:val="pl-PL"/>
              </w:rPr>
              <w:t>gadnie</w:t>
            </w:r>
            <w:r w:rsidR="0065545B">
              <w:rPr>
                <w:rFonts w:asciiTheme="majorHAnsi" w:hAnsiTheme="majorHAnsi" w:cstheme="majorHAnsi"/>
                <w:lang w:val="pl-PL"/>
              </w:rPr>
              <w:t>niu 2 tj.</w:t>
            </w:r>
            <w:r w:rsidR="00B82340">
              <w:rPr>
                <w:rFonts w:asciiTheme="majorHAnsi" w:hAnsiTheme="majorHAnsi" w:cstheme="majorHAnsi"/>
                <w:lang w:val="pl-PL"/>
              </w:rPr>
              <w:t>:</w:t>
            </w:r>
          </w:p>
          <w:p w14:paraId="40421BBF" w14:textId="77777777" w:rsidR="00765722" w:rsidRDefault="00B82340" w:rsidP="00BD2CEE">
            <w:pPr>
              <w:pStyle w:val="Akapitzlist"/>
              <w:numPr>
                <w:ilvl w:val="0"/>
                <w:numId w:val="19"/>
              </w:numPr>
              <w:rPr>
                <w:rFonts w:asciiTheme="majorHAnsi" w:hAnsiTheme="majorHAnsi" w:cstheme="majorHAnsi"/>
                <w:lang w:val="pl-PL"/>
              </w:rPr>
            </w:pPr>
            <w:r w:rsidRPr="00765722">
              <w:rPr>
                <w:rFonts w:asciiTheme="majorHAnsi" w:hAnsiTheme="majorHAnsi" w:cstheme="majorHAnsi"/>
                <w:lang w:val="pl-PL"/>
              </w:rPr>
              <w:t>przed założeniem plantacji roślin wielo</w:t>
            </w:r>
            <w:r w:rsidR="002B6BD2" w:rsidRPr="00765722">
              <w:rPr>
                <w:rFonts w:asciiTheme="majorHAnsi" w:hAnsiTheme="majorHAnsi" w:cstheme="majorHAnsi"/>
                <w:lang w:val="pl-PL"/>
              </w:rPr>
              <w:t>letnich (wybrany gatunek</w:t>
            </w:r>
            <w:r w:rsidR="0065545B" w:rsidRPr="00765722">
              <w:rPr>
                <w:rFonts w:asciiTheme="majorHAnsi" w:hAnsiTheme="majorHAnsi" w:cstheme="majorHAnsi"/>
                <w:lang w:val="pl-PL"/>
              </w:rPr>
              <w:t>,</w:t>
            </w:r>
            <w:r w:rsidR="002B6BD2" w:rsidRPr="0076572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7320E6" w:rsidRPr="00765722">
              <w:rPr>
                <w:rFonts w:asciiTheme="majorHAnsi" w:hAnsiTheme="majorHAnsi" w:cstheme="majorHAnsi"/>
                <w:lang w:val="pl-PL"/>
              </w:rPr>
              <w:t xml:space="preserve">analiza gleby </w:t>
            </w:r>
            <w:r w:rsidR="002B6BD2" w:rsidRPr="00765722">
              <w:rPr>
                <w:rFonts w:asciiTheme="majorHAnsi" w:hAnsiTheme="majorHAnsi" w:cstheme="majorHAnsi"/>
                <w:lang w:val="pl-PL"/>
              </w:rPr>
              <w:t>metod</w:t>
            </w:r>
            <w:r w:rsidR="007320E6" w:rsidRPr="00765722">
              <w:rPr>
                <w:rFonts w:asciiTheme="majorHAnsi" w:hAnsiTheme="majorHAnsi" w:cstheme="majorHAnsi"/>
                <w:lang w:val="pl-PL"/>
              </w:rPr>
              <w:t>ą</w:t>
            </w:r>
            <w:r w:rsidR="002B6BD2" w:rsidRPr="00765722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="002B6BD2" w:rsidRPr="00765722">
              <w:rPr>
                <w:rFonts w:asciiTheme="majorHAnsi" w:hAnsiTheme="majorHAnsi" w:cstheme="majorHAnsi"/>
                <w:lang w:val="pl-PL"/>
              </w:rPr>
              <w:t>Egnera-Riehma</w:t>
            </w:r>
            <w:proofErr w:type="spellEnd"/>
            <w:r w:rsidR="002B6BD2" w:rsidRPr="00765722">
              <w:rPr>
                <w:rFonts w:asciiTheme="majorHAnsi" w:hAnsiTheme="majorHAnsi" w:cstheme="majorHAnsi"/>
                <w:lang w:val="pl-PL"/>
              </w:rPr>
              <w:t>)</w:t>
            </w:r>
            <w:r w:rsidR="00D43FF6" w:rsidRPr="00765722"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2377DFFD" w14:textId="77777777" w:rsidR="00765722" w:rsidRDefault="007320E6" w:rsidP="00BD0233">
            <w:pPr>
              <w:pStyle w:val="Akapitzlist"/>
              <w:numPr>
                <w:ilvl w:val="0"/>
                <w:numId w:val="19"/>
              </w:numPr>
              <w:rPr>
                <w:rFonts w:asciiTheme="majorHAnsi" w:hAnsiTheme="majorHAnsi" w:cstheme="majorHAnsi"/>
                <w:lang w:val="pl-PL"/>
              </w:rPr>
            </w:pPr>
            <w:r w:rsidRPr="00765722">
              <w:rPr>
                <w:rFonts w:asciiTheme="majorHAnsi" w:hAnsiTheme="majorHAnsi" w:cstheme="majorHAnsi"/>
                <w:lang w:val="pl-PL"/>
              </w:rPr>
              <w:t xml:space="preserve">przed lub </w:t>
            </w:r>
            <w:r w:rsidR="002B6BD2" w:rsidRPr="00765722">
              <w:rPr>
                <w:rFonts w:asciiTheme="majorHAnsi" w:hAnsiTheme="majorHAnsi" w:cstheme="majorHAnsi"/>
                <w:lang w:val="pl-PL"/>
              </w:rPr>
              <w:t>w trakcie użytkowania plantacji</w:t>
            </w:r>
            <w:r w:rsidRPr="00765722">
              <w:rPr>
                <w:rFonts w:asciiTheme="majorHAnsi" w:hAnsiTheme="majorHAnsi" w:cstheme="majorHAnsi"/>
                <w:lang w:val="pl-PL"/>
              </w:rPr>
              <w:t xml:space="preserve"> (wybrany gatunek, analiza gleby metodą uniwersalną)</w:t>
            </w:r>
            <w:r w:rsidR="00D43FF6" w:rsidRPr="00765722"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53A29789" w14:textId="516F562A" w:rsidR="002B6BD2" w:rsidRPr="00765722" w:rsidRDefault="007320E6" w:rsidP="00BD0233">
            <w:pPr>
              <w:pStyle w:val="Akapitzlist"/>
              <w:numPr>
                <w:ilvl w:val="0"/>
                <w:numId w:val="19"/>
              </w:numPr>
              <w:rPr>
                <w:rFonts w:asciiTheme="majorHAnsi" w:hAnsiTheme="majorHAnsi" w:cstheme="majorHAnsi"/>
                <w:lang w:val="pl-PL"/>
              </w:rPr>
            </w:pPr>
            <w:r w:rsidRPr="00765722">
              <w:rPr>
                <w:rFonts w:asciiTheme="majorHAnsi" w:hAnsiTheme="majorHAnsi" w:cstheme="majorHAnsi"/>
                <w:lang w:val="pl-PL"/>
              </w:rPr>
              <w:t>dla plantacji w kolejnych latach użytkowania.</w:t>
            </w:r>
          </w:p>
          <w:p w14:paraId="59BF847D" w14:textId="37497262" w:rsidR="000B40D9" w:rsidRPr="00F07D59" w:rsidRDefault="007320E6" w:rsidP="00BD2CE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Zalecenie </w:t>
            </w:r>
            <w:r w:rsidR="0065545B">
              <w:rPr>
                <w:rFonts w:asciiTheme="majorHAnsi" w:hAnsiTheme="majorHAnsi" w:cstheme="majorHAnsi"/>
                <w:lang w:val="pl-PL"/>
              </w:rPr>
              <w:t>obejmuj</w:t>
            </w:r>
            <w:r>
              <w:rPr>
                <w:rFonts w:asciiTheme="majorHAnsi" w:hAnsiTheme="majorHAnsi" w:cstheme="majorHAnsi"/>
                <w:lang w:val="pl-PL"/>
              </w:rPr>
              <w:t>e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dobór </w:t>
            </w:r>
            <w:r w:rsidR="00BD2CEE">
              <w:rPr>
                <w:rFonts w:asciiTheme="majorHAnsi" w:hAnsiTheme="majorHAnsi" w:cstheme="majorHAnsi"/>
                <w:lang w:val="pl-PL"/>
              </w:rPr>
              <w:t>nawozów</w:t>
            </w:r>
            <w:r>
              <w:rPr>
                <w:rFonts w:asciiTheme="majorHAnsi" w:hAnsiTheme="majorHAnsi" w:cstheme="majorHAnsi"/>
                <w:lang w:val="pl-PL"/>
              </w:rPr>
              <w:t xml:space="preserve"> (w tym organicznych bądź naturalnych)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65545B" w:rsidRPr="0065545B">
              <w:rPr>
                <w:rFonts w:asciiTheme="majorHAnsi" w:hAnsiTheme="majorHAnsi" w:cstheme="majorHAnsi"/>
                <w:lang w:val="pl-PL"/>
              </w:rPr>
              <w:t>korekt</w:t>
            </w:r>
            <w:r w:rsidR="0065545B">
              <w:rPr>
                <w:rFonts w:asciiTheme="majorHAnsi" w:hAnsiTheme="majorHAnsi" w:cstheme="majorHAnsi"/>
                <w:lang w:val="pl-PL"/>
              </w:rPr>
              <w:t>ę</w:t>
            </w:r>
            <w:r w:rsidR="0065545B" w:rsidRPr="0065545B">
              <w:rPr>
                <w:rFonts w:asciiTheme="majorHAnsi" w:hAnsiTheme="majorHAnsi" w:cstheme="majorHAnsi"/>
                <w:lang w:val="pl-PL"/>
              </w:rPr>
              <w:t xml:space="preserve"> odczynu jeżeli zachodzi potrzeba,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D2CEE">
              <w:rPr>
                <w:rFonts w:asciiTheme="majorHAnsi" w:hAnsiTheme="majorHAnsi" w:cstheme="majorHAnsi"/>
                <w:lang w:val="pl-PL"/>
              </w:rPr>
              <w:t>wyliczenie dawek nawozów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804B7B">
              <w:rPr>
                <w:rFonts w:asciiTheme="majorHAnsi" w:hAnsiTheme="majorHAnsi" w:cstheme="majorHAnsi"/>
                <w:lang w:val="pl-PL"/>
              </w:rPr>
              <w:t xml:space="preserve">zawierających </w:t>
            </w:r>
            <w:r w:rsidR="0065545B">
              <w:rPr>
                <w:rFonts w:asciiTheme="majorHAnsi" w:hAnsiTheme="majorHAnsi" w:cstheme="majorHAnsi"/>
                <w:lang w:val="pl-PL"/>
              </w:rPr>
              <w:t>składnik</w:t>
            </w:r>
            <w:r w:rsidR="00804B7B">
              <w:rPr>
                <w:rFonts w:asciiTheme="majorHAnsi" w:hAnsiTheme="majorHAnsi" w:cstheme="majorHAnsi"/>
                <w:lang w:val="pl-PL"/>
              </w:rPr>
              <w:t>i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pokarmow</w:t>
            </w:r>
            <w:r w:rsidR="00804B7B">
              <w:rPr>
                <w:rFonts w:asciiTheme="majorHAnsi" w:hAnsiTheme="majorHAnsi" w:cstheme="majorHAnsi"/>
                <w:lang w:val="pl-PL"/>
              </w:rPr>
              <w:t>e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wymagając</w:t>
            </w:r>
            <w:r w:rsidR="00804B7B">
              <w:rPr>
                <w:rFonts w:asciiTheme="majorHAnsi" w:hAnsiTheme="majorHAnsi" w:cstheme="majorHAnsi"/>
                <w:lang w:val="pl-PL"/>
              </w:rPr>
              <w:t>e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uzupełnienia</w:t>
            </w:r>
            <w:r w:rsidR="00BD2CEE">
              <w:rPr>
                <w:rFonts w:asciiTheme="majorHAnsi" w:hAnsiTheme="majorHAnsi" w:cstheme="majorHAnsi"/>
                <w:lang w:val="pl-PL"/>
              </w:rPr>
              <w:t>, wskazanie terminu stosowania</w:t>
            </w:r>
            <w:r w:rsidR="0065545B">
              <w:rPr>
                <w:rFonts w:asciiTheme="majorHAnsi" w:hAnsiTheme="majorHAnsi" w:cstheme="majorHAnsi"/>
                <w:lang w:val="pl-PL"/>
              </w:rPr>
              <w:t xml:space="preserve"> oraz</w:t>
            </w:r>
            <w:r w:rsidR="00804B7B">
              <w:rPr>
                <w:rFonts w:asciiTheme="majorHAnsi" w:hAnsiTheme="majorHAnsi" w:cstheme="majorHAnsi"/>
                <w:lang w:val="pl-PL"/>
              </w:rPr>
              <w:t xml:space="preserve"> podziału na dawki, jeżeli są ku temu wskazania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. 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 xml:space="preserve">Przedstawienie </w:t>
            </w:r>
            <w:r w:rsidR="00B965CF">
              <w:rPr>
                <w:rFonts w:asciiTheme="majorHAnsi" w:hAnsiTheme="majorHAnsi" w:cstheme="majorHAnsi"/>
                <w:lang w:val="pl-PL"/>
              </w:rPr>
              <w:t xml:space="preserve">wpływu dawki nawozu na 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jakoś</w:t>
            </w:r>
            <w:r w:rsidR="00D43FF6">
              <w:rPr>
                <w:rFonts w:asciiTheme="majorHAnsi" w:hAnsiTheme="majorHAnsi" w:cstheme="majorHAnsi"/>
                <w:lang w:val="pl-PL"/>
              </w:rPr>
              <w:t>ć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 xml:space="preserve"> produkowanej żywności i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dla 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środowiska.</w:t>
            </w:r>
            <w:r w:rsidR="009C4BD7"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D2CEE">
              <w:rPr>
                <w:rFonts w:asciiTheme="majorHAnsi" w:hAnsiTheme="majorHAnsi" w:cstheme="majorHAnsi"/>
                <w:lang w:val="pl-PL"/>
              </w:rPr>
              <w:t>Analiza z</w:t>
            </w:r>
            <w:r w:rsidR="00BD2CEE" w:rsidRPr="00F07D59">
              <w:rPr>
                <w:rFonts w:asciiTheme="majorHAnsi" w:hAnsiTheme="majorHAnsi" w:cstheme="majorHAnsi"/>
                <w:lang w:val="pl-PL"/>
              </w:rPr>
              <w:t>agroże</w:t>
            </w:r>
            <w:r w:rsidR="00BD2CEE">
              <w:rPr>
                <w:rFonts w:asciiTheme="majorHAnsi" w:hAnsiTheme="majorHAnsi" w:cstheme="majorHAnsi"/>
                <w:lang w:val="pl-PL"/>
              </w:rPr>
              <w:t>ń wynikających z niewłaściwego zastosowania nawozów.</w:t>
            </w:r>
          </w:p>
        </w:tc>
      </w:tr>
      <w:tr w:rsidR="00997A47" w:rsidRPr="00B70101" w14:paraId="51489F0B" w14:textId="77777777" w:rsidTr="007C4DE5">
        <w:tc>
          <w:tcPr>
            <w:tcW w:w="3539" w:type="dxa"/>
          </w:tcPr>
          <w:p w14:paraId="048750C2" w14:textId="3E22CA17" w:rsidR="00997A47" w:rsidRPr="000B40D9" w:rsidRDefault="00997A47" w:rsidP="00997A4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F51173"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631D86D" w14:textId="7AFEEA6A" w:rsidR="00997A47" w:rsidRDefault="00997A47" w:rsidP="00997A4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Samodzielne opracowywanie zaleceń nawozowych – praca w zespole/łach</w:t>
            </w:r>
            <w:r w:rsidR="00A545A2">
              <w:rPr>
                <w:rFonts w:asciiTheme="majorHAnsi" w:hAnsiTheme="majorHAnsi" w:cstheme="majorHAnsi"/>
                <w:lang w:val="pl-PL"/>
              </w:rPr>
              <w:t>.</w:t>
            </w:r>
            <w:r>
              <w:rPr>
                <w:rFonts w:asciiTheme="majorHAnsi" w:hAnsiTheme="majorHAnsi" w:cstheme="majorHAnsi"/>
                <w:lang w:val="pl-PL"/>
              </w:rPr>
              <w:t xml:space="preserve">  </w:t>
            </w:r>
          </w:p>
        </w:tc>
      </w:tr>
      <w:tr w:rsidR="00997A47" w:rsidRPr="00B70101" w14:paraId="7F54EA13" w14:textId="77777777" w:rsidTr="007C4DE5">
        <w:tc>
          <w:tcPr>
            <w:tcW w:w="3539" w:type="dxa"/>
          </w:tcPr>
          <w:p w14:paraId="6A0A53D7" w14:textId="6A1148C8" w:rsidR="00997A47" w:rsidRPr="000B40D9" w:rsidRDefault="00997A47" w:rsidP="00997A47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93F600F" w14:textId="4C8625BA" w:rsidR="00997A47" w:rsidRDefault="00F51173" w:rsidP="00997A4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45</w:t>
            </w:r>
            <w:r w:rsidR="00997A47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997A47" w:rsidRPr="00B70101" w14:paraId="081530D5" w14:textId="77777777" w:rsidTr="007C4DE5">
        <w:tc>
          <w:tcPr>
            <w:tcW w:w="3539" w:type="dxa"/>
          </w:tcPr>
          <w:p w14:paraId="77A4D7CE" w14:textId="096FC934" w:rsidR="00997A47" w:rsidRPr="000B40D9" w:rsidRDefault="00997A47" w:rsidP="00997A47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 w:rsidR="00F51173"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09F7F240" w14:textId="1E86DECF" w:rsidR="00997A47" w:rsidRDefault="00997A47" w:rsidP="00997A4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Studenci w zespole</w:t>
            </w:r>
            <w:r w:rsidR="00E4584D">
              <w:rPr>
                <w:rFonts w:asciiTheme="majorHAnsi" w:hAnsiTheme="majorHAnsi" w:cstheme="majorHAnsi"/>
                <w:lang w:val="pl-PL"/>
              </w:rPr>
              <w:t>/ach</w:t>
            </w:r>
            <w:r>
              <w:rPr>
                <w:rFonts w:asciiTheme="majorHAnsi" w:hAnsiTheme="majorHAnsi" w:cstheme="majorHAnsi"/>
                <w:lang w:val="pl-PL"/>
              </w:rPr>
              <w:t xml:space="preserve"> analizują przydzielone zadanie, opracowują zalecenie i przedstawiają  grupie</w:t>
            </w:r>
            <w:r w:rsidR="00E4584D">
              <w:rPr>
                <w:rFonts w:asciiTheme="majorHAnsi" w:hAnsiTheme="majorHAnsi" w:cstheme="majorHAnsi"/>
                <w:lang w:val="pl-PL"/>
              </w:rPr>
              <w:t xml:space="preserve"> oraz nauczycielowi. Dyskusja nad opracowanym zaleceniem, wskazanie opcjonalnych możliwości i ewentualna korekta ewidentnych błędów.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506BE4EF" w:rsidR="005143E8" w:rsidRPr="000A7EB6" w:rsidRDefault="006E6B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Ćwiczenia, 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praca zespołowa, 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6E4F8C58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tablica szkolna, </w:t>
            </w:r>
            <w:r w:rsidR="002C5429">
              <w:rPr>
                <w:rFonts w:asciiTheme="majorHAnsi" w:hAnsiTheme="majorHAnsi" w:cstheme="majorHAnsi"/>
                <w:lang w:val="pl-PL"/>
              </w:rPr>
              <w:t xml:space="preserve">liczby graniczne dla </w:t>
            </w:r>
            <w:r w:rsidR="00D43FF6">
              <w:rPr>
                <w:rFonts w:asciiTheme="majorHAnsi" w:hAnsiTheme="majorHAnsi" w:cstheme="majorHAnsi"/>
                <w:lang w:val="pl-PL"/>
              </w:rPr>
              <w:t>roślin sadowniczych</w:t>
            </w:r>
            <w:r w:rsidR="002C5429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F1BBFD8" w14:textId="77777777" w:rsidR="00BC35C2" w:rsidRPr="00A5540E" w:rsidRDefault="00BC35C2" w:rsidP="00BC35C2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Kacperska I., Oświęcimski W., Przeradzki D., Stojanowska J. 1993. Opracowanie zaleceń nawozowych w </w:t>
            </w:r>
            <w:r w:rsidRPr="00A5540E">
              <w:rPr>
                <w:rFonts w:asciiTheme="majorHAnsi" w:hAnsiTheme="majorHAnsi" w:cstheme="majorHAnsi"/>
                <w:lang w:val="pl-PL"/>
              </w:rPr>
              <w:t>ogrodnic</w:t>
            </w:r>
            <w:r>
              <w:rPr>
                <w:rFonts w:asciiTheme="majorHAnsi" w:hAnsiTheme="majorHAnsi" w:cstheme="majorHAnsi"/>
                <w:lang w:val="pl-PL"/>
              </w:rPr>
              <w:t>twie</w:t>
            </w:r>
            <w:r w:rsidRPr="00A5540E">
              <w:rPr>
                <w:rFonts w:asciiTheme="majorHAnsi" w:hAnsiTheme="majorHAnsi" w:cstheme="majorHAnsi"/>
                <w:lang w:val="pl-PL"/>
              </w:rPr>
              <w:t>. Wyd. SGGW, Warszawa.</w:t>
            </w:r>
          </w:p>
          <w:p w14:paraId="325A3796" w14:textId="593A4ADD" w:rsid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4D44D974" w14:textId="77777777" w:rsidR="00765722" w:rsidRDefault="00A5540E" w:rsidP="00765722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5540E">
              <w:rPr>
                <w:rFonts w:asciiTheme="majorHAnsi" w:hAnsiTheme="majorHAnsi" w:cstheme="majorHAnsi"/>
                <w:lang w:val="pl-PL"/>
              </w:rPr>
              <w:t>Łata B., Stankiewicz-Kosyl M., Wińska-Krysiak M. 2019. Przewodnik do ćwiczeń z uprawy roli i nawożenia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ogrodniczych.</w:t>
            </w:r>
            <w:r w:rsidRPr="00A5540E">
              <w:rPr>
                <w:rFonts w:asciiTheme="majorHAnsi" w:hAnsiTheme="majorHAnsi" w:cstheme="majorHAnsi"/>
                <w:lang w:val="pl-PL"/>
              </w:rPr>
              <w:t xml:space="preserve"> Wyd. SGGW, Warszawa.</w:t>
            </w:r>
          </w:p>
          <w:p w14:paraId="578DC703" w14:textId="77777777" w:rsidR="00765722" w:rsidRDefault="00765722" w:rsidP="00765722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hyperlink r:id="rId11" w:history="1">
              <w:r w:rsidRPr="00765722">
                <w:rPr>
                  <w:rStyle w:val="Hipercze"/>
                  <w:rFonts w:asciiTheme="majorHAnsi" w:hAnsiTheme="majorHAnsi" w:cstheme="majorHAnsi"/>
                  <w:lang w:val="pl-PL"/>
                </w:rPr>
                <w:t xml:space="preserve">Metodyki IP – Państwowa Inspekcja Ochrony Roślin i Nasiennictwa – Portal Gov.pl </w:t>
              </w:r>
            </w:hyperlink>
          </w:p>
          <w:p w14:paraId="605E0D34" w14:textId="77777777" w:rsidR="00765722" w:rsidRDefault="00765722" w:rsidP="00765722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765722">
              <w:rPr>
                <w:rFonts w:asciiTheme="majorHAnsi" w:hAnsiTheme="majorHAnsi" w:cstheme="majorHAnsi"/>
                <w:lang w:val="pl-PL"/>
              </w:rPr>
              <w:t xml:space="preserve">Rozporządzenie Ministra Rolnictwa i Rozwoju Wsi z dnia 20 lipca 2018 r. zmieniające rozporządzenie w sprawie szczegółowego sposobu stosowania nawozów oraz prowadzenia szkoleń z zakresu ich stosowania (Dz. U. z 2018 </w:t>
            </w:r>
            <w:proofErr w:type="spellStart"/>
            <w:r w:rsidRPr="00765722">
              <w:rPr>
                <w:rFonts w:asciiTheme="majorHAnsi" w:hAnsiTheme="majorHAnsi" w:cstheme="majorHAnsi"/>
                <w:lang w:val="pl-PL"/>
              </w:rPr>
              <w:t>r.poz</w:t>
            </w:r>
            <w:proofErr w:type="spellEnd"/>
            <w:r w:rsidRPr="00765722">
              <w:rPr>
                <w:rFonts w:asciiTheme="majorHAnsi" w:hAnsiTheme="majorHAnsi" w:cstheme="majorHAnsi"/>
                <w:lang w:val="pl-PL"/>
              </w:rPr>
              <w:t>. 1438).</w:t>
            </w:r>
          </w:p>
          <w:p w14:paraId="2C188A92" w14:textId="17B26D9E" w:rsidR="008B07FF" w:rsidRPr="00765722" w:rsidRDefault="00765722" w:rsidP="00765722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765722">
              <w:rPr>
                <w:rFonts w:asciiTheme="majorHAnsi" w:hAnsiTheme="majorHAnsi" w:cstheme="majorHAnsi"/>
                <w:lang w:val="pl-PL"/>
              </w:rPr>
              <w:t>Aktualna literatura naukowa i branżowa przygotowywana przez koordynatora przedmiotu.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692BED2F" w:rsidR="00C66032" w:rsidRPr="00406DA8" w:rsidRDefault="00406DA8" w:rsidP="00E27B79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Student zna i rozumie w zaawansowanym stopniu: 1</w:t>
            </w:r>
            <w:r w:rsidR="00D43FF6">
              <w:rPr>
                <w:rFonts w:asciiTheme="majorHAnsi" w:hAnsiTheme="majorHAnsi" w:cstheme="majorHAnsi"/>
                <w:lang w:val="pl-PL"/>
              </w:rPr>
              <w:t>)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zrównoważonego wprowadzania </w:t>
            </w:r>
            <w:r w:rsidR="00E27B79" w:rsidRPr="00E27B79">
              <w:rPr>
                <w:rFonts w:asciiTheme="majorHAnsi" w:hAnsiTheme="majorHAnsi" w:cstheme="majorHAnsi"/>
                <w:lang w:val="pl-PL"/>
              </w:rPr>
              <w:t xml:space="preserve">różnych składników mineralnych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E27B7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5E70BD8D" w:rsidR="00C66032" w:rsidRPr="00E27B79" w:rsidRDefault="00E27B79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E27B79">
              <w:rPr>
                <w:rFonts w:asciiTheme="majorHAnsi" w:hAnsiTheme="majorHAnsi" w:cstheme="majorHAnsi"/>
                <w:lang w:val="pl-PL"/>
              </w:rPr>
              <w:t>Kolokwium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316516E6" w:rsidR="004B726D" w:rsidRPr="000A7EB6" w:rsidRDefault="00275D26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Barbara Łata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78668F5F" w:rsidR="004B726D" w:rsidRPr="000A7EB6" w:rsidRDefault="00275D26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Barbara Łata</w:t>
            </w:r>
          </w:p>
        </w:tc>
      </w:tr>
    </w:tbl>
    <w:p w14:paraId="53C257E1" w14:textId="0620909B" w:rsidR="007A1156" w:rsidRDefault="007A1156" w:rsidP="00082AB2">
      <w:pPr>
        <w:rPr>
          <w:lang w:val="pl-PL"/>
        </w:rPr>
      </w:pPr>
    </w:p>
    <w:p w14:paraId="21160267" w14:textId="77777777" w:rsidR="008352E3" w:rsidRDefault="008352E3" w:rsidP="00082AB2">
      <w:pPr>
        <w:rPr>
          <w:lang w:val="pl-PL"/>
        </w:rPr>
      </w:pPr>
    </w:p>
    <w:p w14:paraId="284947D6" w14:textId="77777777" w:rsidR="008352E3" w:rsidRPr="00837332" w:rsidRDefault="008352E3" w:rsidP="008352E3">
      <w:pPr>
        <w:spacing w:after="160" w:line="259" w:lineRule="auto"/>
      </w:pPr>
      <w:r w:rsidRPr="00837332">
        <w:t>CC BY 4.0</w:t>
      </w:r>
    </w:p>
    <w:p w14:paraId="1E55A653" w14:textId="77777777" w:rsidR="008352E3" w:rsidRPr="00837332" w:rsidRDefault="008352E3" w:rsidP="008352E3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56DA7FDD" w14:textId="77777777" w:rsidR="008352E3" w:rsidRPr="00837332" w:rsidRDefault="008352E3" w:rsidP="008352E3">
      <w:pPr>
        <w:spacing w:after="160" w:line="259" w:lineRule="auto"/>
      </w:pPr>
      <w:hyperlink r:id="rId12" w:history="1">
        <w:r w:rsidRPr="00837332">
          <w:rPr>
            <w:rStyle w:val="Hipercze"/>
          </w:rPr>
          <w:t>https://creativecommons.org/licenses/by/4.0/deed.pl</w:t>
        </w:r>
      </w:hyperlink>
    </w:p>
    <w:p w14:paraId="17682697" w14:textId="77777777" w:rsidR="008352E3" w:rsidRPr="00837332" w:rsidRDefault="008352E3" w:rsidP="008352E3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5A37C339" w14:textId="77777777" w:rsidR="008352E3" w:rsidRDefault="008352E3" w:rsidP="00082AB2">
      <w:pPr>
        <w:rPr>
          <w:lang w:val="pl-PL"/>
        </w:rPr>
      </w:pPr>
    </w:p>
    <w:sectPr w:rsidR="008352E3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0AEB" w14:textId="77777777" w:rsidR="00DA6ED3" w:rsidRDefault="00DA6ED3" w:rsidP="00521628">
      <w:pPr>
        <w:spacing w:after="0" w:line="240" w:lineRule="auto"/>
      </w:pPr>
      <w:r>
        <w:separator/>
      </w:r>
    </w:p>
  </w:endnote>
  <w:endnote w:type="continuationSeparator" w:id="0">
    <w:p w14:paraId="157B20EB" w14:textId="77777777" w:rsidR="00DA6ED3" w:rsidRDefault="00DA6ED3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8037" w14:textId="77777777" w:rsidR="00DA6ED3" w:rsidRDefault="00DA6ED3" w:rsidP="00521628">
      <w:pPr>
        <w:spacing w:after="0" w:line="240" w:lineRule="auto"/>
      </w:pPr>
      <w:r>
        <w:separator/>
      </w:r>
    </w:p>
  </w:footnote>
  <w:footnote w:type="continuationSeparator" w:id="0">
    <w:p w14:paraId="540F7D34" w14:textId="77777777" w:rsidR="00DA6ED3" w:rsidRDefault="00DA6ED3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73C07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F40DB"/>
    <w:multiLevelType w:val="hybridMultilevel"/>
    <w:tmpl w:val="93B8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111D2"/>
    <w:multiLevelType w:val="hybridMultilevel"/>
    <w:tmpl w:val="A2EE13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20919"/>
    <w:multiLevelType w:val="hybridMultilevel"/>
    <w:tmpl w:val="54A22792"/>
    <w:lvl w:ilvl="0" w:tplc="79565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A1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C08E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6B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0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29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8A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48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66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F869BE"/>
    <w:multiLevelType w:val="hybridMultilevel"/>
    <w:tmpl w:val="36E66D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36B03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894402">
    <w:abstractNumId w:val="8"/>
  </w:num>
  <w:num w:numId="2" w16cid:durableId="329910314">
    <w:abstractNumId w:val="6"/>
  </w:num>
  <w:num w:numId="3" w16cid:durableId="440414327">
    <w:abstractNumId w:val="5"/>
  </w:num>
  <w:num w:numId="4" w16cid:durableId="312568334">
    <w:abstractNumId w:val="4"/>
  </w:num>
  <w:num w:numId="5" w16cid:durableId="245963246">
    <w:abstractNumId w:val="7"/>
  </w:num>
  <w:num w:numId="6" w16cid:durableId="288826226">
    <w:abstractNumId w:val="3"/>
  </w:num>
  <w:num w:numId="7" w16cid:durableId="257295450">
    <w:abstractNumId w:val="2"/>
  </w:num>
  <w:num w:numId="8" w16cid:durableId="865825698">
    <w:abstractNumId w:val="1"/>
  </w:num>
  <w:num w:numId="9" w16cid:durableId="1356999526">
    <w:abstractNumId w:val="0"/>
  </w:num>
  <w:num w:numId="10" w16cid:durableId="1700087278">
    <w:abstractNumId w:val="15"/>
  </w:num>
  <w:num w:numId="11" w16cid:durableId="905149090">
    <w:abstractNumId w:val="20"/>
  </w:num>
  <w:num w:numId="12" w16cid:durableId="817115877">
    <w:abstractNumId w:val="14"/>
  </w:num>
  <w:num w:numId="13" w16cid:durableId="2036684643">
    <w:abstractNumId w:val="19"/>
  </w:num>
  <w:num w:numId="14" w16cid:durableId="141431866">
    <w:abstractNumId w:val="16"/>
  </w:num>
  <w:num w:numId="15" w16cid:durableId="2087341567">
    <w:abstractNumId w:val="12"/>
  </w:num>
  <w:num w:numId="16" w16cid:durableId="1766220099">
    <w:abstractNumId w:val="11"/>
  </w:num>
  <w:num w:numId="17" w16cid:durableId="56784288">
    <w:abstractNumId w:val="9"/>
  </w:num>
  <w:num w:numId="18" w16cid:durableId="1173185253">
    <w:abstractNumId w:val="10"/>
  </w:num>
  <w:num w:numId="19" w16cid:durableId="1951276931">
    <w:abstractNumId w:val="13"/>
  </w:num>
  <w:num w:numId="20" w16cid:durableId="2084716611">
    <w:abstractNumId w:val="18"/>
  </w:num>
  <w:num w:numId="21" w16cid:durableId="1496070647">
    <w:abstractNumId w:val="17"/>
  </w:num>
  <w:num w:numId="22" w16cid:durableId="1593775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30816"/>
    <w:rsid w:val="00034616"/>
    <w:rsid w:val="000375B5"/>
    <w:rsid w:val="00045B23"/>
    <w:rsid w:val="0006063C"/>
    <w:rsid w:val="00066A23"/>
    <w:rsid w:val="00077043"/>
    <w:rsid w:val="00082AB2"/>
    <w:rsid w:val="000851D8"/>
    <w:rsid w:val="00091956"/>
    <w:rsid w:val="000A6B8A"/>
    <w:rsid w:val="000A7EB6"/>
    <w:rsid w:val="000B2BEB"/>
    <w:rsid w:val="000B40D9"/>
    <w:rsid w:val="000E633D"/>
    <w:rsid w:val="000F1F39"/>
    <w:rsid w:val="00107482"/>
    <w:rsid w:val="001210B4"/>
    <w:rsid w:val="001355BA"/>
    <w:rsid w:val="0014086C"/>
    <w:rsid w:val="0015074B"/>
    <w:rsid w:val="001B6CFF"/>
    <w:rsid w:val="001C2198"/>
    <w:rsid w:val="001D2B22"/>
    <w:rsid w:val="001F5D4A"/>
    <w:rsid w:val="00222E85"/>
    <w:rsid w:val="00224AE9"/>
    <w:rsid w:val="002355C6"/>
    <w:rsid w:val="00275D26"/>
    <w:rsid w:val="0029639D"/>
    <w:rsid w:val="002B1689"/>
    <w:rsid w:val="002B6BD2"/>
    <w:rsid w:val="002C5429"/>
    <w:rsid w:val="002F0DA9"/>
    <w:rsid w:val="002F6513"/>
    <w:rsid w:val="00314F5F"/>
    <w:rsid w:val="00326F90"/>
    <w:rsid w:val="00337580"/>
    <w:rsid w:val="00346390"/>
    <w:rsid w:val="003628CD"/>
    <w:rsid w:val="003805E8"/>
    <w:rsid w:val="003920A9"/>
    <w:rsid w:val="003F0970"/>
    <w:rsid w:val="003F6B02"/>
    <w:rsid w:val="00406DA8"/>
    <w:rsid w:val="0044797C"/>
    <w:rsid w:val="00450074"/>
    <w:rsid w:val="00452C3B"/>
    <w:rsid w:val="00484B27"/>
    <w:rsid w:val="004B5435"/>
    <w:rsid w:val="004B726D"/>
    <w:rsid w:val="004C3B3F"/>
    <w:rsid w:val="004E2219"/>
    <w:rsid w:val="004E79EF"/>
    <w:rsid w:val="004F0072"/>
    <w:rsid w:val="005066E1"/>
    <w:rsid w:val="005143E8"/>
    <w:rsid w:val="00521628"/>
    <w:rsid w:val="00522900"/>
    <w:rsid w:val="00526EC4"/>
    <w:rsid w:val="00540F9A"/>
    <w:rsid w:val="0054402D"/>
    <w:rsid w:val="00563039"/>
    <w:rsid w:val="0058212E"/>
    <w:rsid w:val="005A719B"/>
    <w:rsid w:val="005B1338"/>
    <w:rsid w:val="005B65CA"/>
    <w:rsid w:val="005C39B5"/>
    <w:rsid w:val="005C3AF8"/>
    <w:rsid w:val="00612384"/>
    <w:rsid w:val="006241E8"/>
    <w:rsid w:val="0065545B"/>
    <w:rsid w:val="00661996"/>
    <w:rsid w:val="006B077E"/>
    <w:rsid w:val="006B3677"/>
    <w:rsid w:val="006B724A"/>
    <w:rsid w:val="006C1D95"/>
    <w:rsid w:val="006D0A32"/>
    <w:rsid w:val="006E6B96"/>
    <w:rsid w:val="007273F1"/>
    <w:rsid w:val="007320E6"/>
    <w:rsid w:val="00765722"/>
    <w:rsid w:val="007A1156"/>
    <w:rsid w:val="007B0571"/>
    <w:rsid w:val="007B621E"/>
    <w:rsid w:val="007C4DE5"/>
    <w:rsid w:val="00801E1C"/>
    <w:rsid w:val="00804B7B"/>
    <w:rsid w:val="00830B23"/>
    <w:rsid w:val="00834DE3"/>
    <w:rsid w:val="008352E3"/>
    <w:rsid w:val="008B07FF"/>
    <w:rsid w:val="008C6864"/>
    <w:rsid w:val="008D14B4"/>
    <w:rsid w:val="009034CC"/>
    <w:rsid w:val="009127F2"/>
    <w:rsid w:val="0092286B"/>
    <w:rsid w:val="00947699"/>
    <w:rsid w:val="009502FB"/>
    <w:rsid w:val="00976B8B"/>
    <w:rsid w:val="0098181E"/>
    <w:rsid w:val="009952E3"/>
    <w:rsid w:val="00997A47"/>
    <w:rsid w:val="009A0A9B"/>
    <w:rsid w:val="009A7DD3"/>
    <w:rsid w:val="009B497C"/>
    <w:rsid w:val="009C4BD7"/>
    <w:rsid w:val="009F1320"/>
    <w:rsid w:val="00A26981"/>
    <w:rsid w:val="00A26C12"/>
    <w:rsid w:val="00A4244C"/>
    <w:rsid w:val="00A545A2"/>
    <w:rsid w:val="00A5540E"/>
    <w:rsid w:val="00A94978"/>
    <w:rsid w:val="00AA1D8D"/>
    <w:rsid w:val="00AC1286"/>
    <w:rsid w:val="00AE2FF0"/>
    <w:rsid w:val="00B47730"/>
    <w:rsid w:val="00B52CC1"/>
    <w:rsid w:val="00B70101"/>
    <w:rsid w:val="00B734AA"/>
    <w:rsid w:val="00B82340"/>
    <w:rsid w:val="00B965CF"/>
    <w:rsid w:val="00BA383D"/>
    <w:rsid w:val="00BA4DD9"/>
    <w:rsid w:val="00BA5A06"/>
    <w:rsid w:val="00BC35C2"/>
    <w:rsid w:val="00BC6FB0"/>
    <w:rsid w:val="00BD2CEE"/>
    <w:rsid w:val="00BE192A"/>
    <w:rsid w:val="00C04DF8"/>
    <w:rsid w:val="00C21B51"/>
    <w:rsid w:val="00C24EDB"/>
    <w:rsid w:val="00C3691F"/>
    <w:rsid w:val="00C44478"/>
    <w:rsid w:val="00C5174D"/>
    <w:rsid w:val="00C551F5"/>
    <w:rsid w:val="00C66032"/>
    <w:rsid w:val="00C7113C"/>
    <w:rsid w:val="00C90D7A"/>
    <w:rsid w:val="00CA6930"/>
    <w:rsid w:val="00CB0664"/>
    <w:rsid w:val="00CD20C4"/>
    <w:rsid w:val="00D00937"/>
    <w:rsid w:val="00D054A7"/>
    <w:rsid w:val="00D07142"/>
    <w:rsid w:val="00D33534"/>
    <w:rsid w:val="00D43FF6"/>
    <w:rsid w:val="00D64982"/>
    <w:rsid w:val="00D724E7"/>
    <w:rsid w:val="00DA6ED3"/>
    <w:rsid w:val="00DD46EF"/>
    <w:rsid w:val="00E20C95"/>
    <w:rsid w:val="00E27B79"/>
    <w:rsid w:val="00E316F3"/>
    <w:rsid w:val="00E331E1"/>
    <w:rsid w:val="00E34364"/>
    <w:rsid w:val="00E409FD"/>
    <w:rsid w:val="00E4584D"/>
    <w:rsid w:val="00EB6BE9"/>
    <w:rsid w:val="00EC3D06"/>
    <w:rsid w:val="00F07D59"/>
    <w:rsid w:val="00F07E61"/>
    <w:rsid w:val="00F328A1"/>
    <w:rsid w:val="00F51173"/>
    <w:rsid w:val="00F64836"/>
    <w:rsid w:val="00F76EBB"/>
    <w:rsid w:val="00FC693F"/>
    <w:rsid w:val="00FD3E5E"/>
    <w:rsid w:val="00FD5896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27B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B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543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3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FF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65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13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iorin/metodyki-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2</TotalTime>
  <Pages>4</Pages>
  <Words>850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2026-03-19T14:49:00Z</dcterms:created>
  <dcterms:modified xsi:type="dcterms:W3CDTF">2026-03-23T09:46:00Z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