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F3B3CB7" w:rsidR="00E316F3" w:rsidRPr="00F07D59" w:rsidRDefault="00F07D59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5</w:t>
            </w:r>
            <w:r w:rsidR="00314F5F" w:rsidRPr="00F07D59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2A069A7E" w:rsidR="0044797C" w:rsidRPr="00F07D59" w:rsidRDefault="0038490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00AC156F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EA416C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7AB6C8E2" w:rsidR="004B726D" w:rsidRPr="00F07D59" w:rsidRDefault="00B5173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7B2DB257" w:rsidR="0044797C" w:rsidRPr="00F07D59" w:rsidRDefault="0010748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Wapń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 xml:space="preserve"> w żywieniu mineralnym roślin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77777777" w:rsidR="005143E8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90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42A12B3D" w:rsidR="008D14B4" w:rsidRPr="00F07D59" w:rsidRDefault="006C1D95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Charakterystyka </w:t>
            </w:r>
            <w:r w:rsidR="00107482">
              <w:rPr>
                <w:rFonts w:asciiTheme="majorHAnsi" w:hAnsiTheme="majorHAnsi" w:cstheme="majorHAnsi"/>
                <w:lang w:val="pl-PL"/>
              </w:rPr>
              <w:t>wapnia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jako pierwiastka niezbędnego w żywieniu roślin </w:t>
            </w:r>
            <w:r w:rsidR="009127F2" w:rsidRPr="00F07D59">
              <w:rPr>
                <w:rFonts w:asciiTheme="majorHAnsi" w:hAnsiTheme="majorHAnsi" w:cstheme="majorHAnsi"/>
                <w:lang w:val="pl-PL"/>
              </w:rPr>
              <w:t>z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podstawami kontrolowanego żywienia roślin tym składnikiem.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1627555E" w:rsidR="006C1D95" w:rsidRPr="00F07D59" w:rsidRDefault="004E221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Poznanie 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źródeł </w:t>
            </w:r>
            <w:r w:rsidR="00107482">
              <w:rPr>
                <w:rFonts w:asciiTheme="majorHAnsi" w:hAnsiTheme="majorHAnsi" w:cstheme="majorHAnsi"/>
                <w:lang w:val="pl-PL"/>
              </w:rPr>
              <w:t>wapnia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 w glebie, 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 xml:space="preserve">zrozumienie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dynamiki 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jego </w:t>
            </w:r>
            <w:r w:rsidRPr="00F07D59">
              <w:rPr>
                <w:rFonts w:asciiTheme="majorHAnsi" w:hAnsiTheme="majorHAnsi" w:cstheme="majorHAnsi"/>
                <w:lang w:val="pl-PL"/>
              </w:rPr>
              <w:t>przemian</w:t>
            </w:r>
            <w:r w:rsidR="00107482">
              <w:rPr>
                <w:rFonts w:asciiTheme="majorHAnsi" w:hAnsiTheme="majorHAnsi" w:cstheme="majorHAnsi"/>
                <w:lang w:val="pl-PL"/>
              </w:rPr>
              <w:t>, wpływu na glebę i roślinę. Przedstawienie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 czynników wpływających na prawidłowe gospodarowanie </w:t>
            </w:r>
            <w:r w:rsidR="00107482">
              <w:rPr>
                <w:rFonts w:asciiTheme="majorHAnsi" w:hAnsiTheme="majorHAnsi" w:cstheme="majorHAnsi"/>
                <w:lang w:val="pl-PL"/>
              </w:rPr>
              <w:t>wapniem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 w relacji do plonowania z uwzględnieniem aspektów ekonomicznych i środowiskowych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77777777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7F88ED4F" w14:textId="77777777" w:rsidTr="007C4DE5">
        <w:tc>
          <w:tcPr>
            <w:tcW w:w="3539" w:type="dxa"/>
          </w:tcPr>
          <w:p w14:paraId="73ED42E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02CBE2E" w14:textId="22ADCD86" w:rsidR="009127F2" w:rsidRPr="00F07D59" w:rsidRDefault="0010748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Wapń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 xml:space="preserve"> w metabolizmie roślin</w:t>
            </w:r>
          </w:p>
        </w:tc>
      </w:tr>
      <w:tr w:rsidR="005143E8" w:rsidRPr="006B724A" w14:paraId="3A11F26C" w14:textId="77777777" w:rsidTr="007C4DE5">
        <w:tc>
          <w:tcPr>
            <w:tcW w:w="3539" w:type="dxa"/>
          </w:tcPr>
          <w:p w14:paraId="4304E09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2D29DD0C" w14:textId="77777777" w:rsidR="005143E8" w:rsidRPr="006B724A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 minut</w:t>
            </w:r>
          </w:p>
        </w:tc>
      </w:tr>
      <w:tr w:rsidR="005143E8" w:rsidRPr="00B70101" w14:paraId="14413851" w14:textId="77777777" w:rsidTr="007C4DE5">
        <w:tc>
          <w:tcPr>
            <w:tcW w:w="3539" w:type="dxa"/>
          </w:tcPr>
          <w:p w14:paraId="5D8DE3A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2762CC38" w14:textId="576B4552" w:rsidR="0098181E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w interakcji ze studentami roli </w:t>
            </w:r>
            <w:r w:rsidR="00107482">
              <w:rPr>
                <w:rFonts w:asciiTheme="majorHAnsi" w:hAnsiTheme="majorHAnsi" w:cstheme="majorHAnsi"/>
                <w:lang w:val="pl-PL"/>
              </w:rPr>
              <w:t>wapnia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 w kontekście kwalifikacji tego pierwiastka jako niezbędnego w rozwoju rośliny.</w:t>
            </w:r>
          </w:p>
        </w:tc>
      </w:tr>
      <w:tr w:rsidR="005143E8" w:rsidRPr="00B70101" w14:paraId="7FE81ADD" w14:textId="77777777" w:rsidTr="007C4DE5">
        <w:tc>
          <w:tcPr>
            <w:tcW w:w="3539" w:type="dxa"/>
          </w:tcPr>
          <w:p w14:paraId="251A493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C771831" w14:textId="57A72678" w:rsidR="003F6B02" w:rsidRPr="00F07D59" w:rsidRDefault="0010748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Wapń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 w glebie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619222EB" w:rsidR="005143E8" w:rsidRPr="00F07D59" w:rsidRDefault="000B2BEB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59D9CE92" w14:textId="4AA3421B" w:rsidR="003F6B02" w:rsidRPr="00F07D59" w:rsidRDefault="003F6B02" w:rsidP="005066E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form </w:t>
            </w:r>
            <w:r w:rsidR="00107482">
              <w:rPr>
                <w:rFonts w:asciiTheme="majorHAnsi" w:hAnsiTheme="majorHAnsi" w:cstheme="majorHAnsi"/>
                <w:lang w:val="pl-PL"/>
              </w:rPr>
              <w:t>wapnia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F76EBB" w:rsidRPr="00F07D59">
              <w:rPr>
                <w:rFonts w:asciiTheme="majorHAnsi" w:hAnsiTheme="majorHAnsi" w:cstheme="majorHAnsi"/>
                <w:lang w:val="pl-PL"/>
              </w:rPr>
              <w:t xml:space="preserve">w jakich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występuje 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ten pierwiastek </w:t>
            </w:r>
            <w:r w:rsidRPr="00F07D59">
              <w:rPr>
                <w:rFonts w:asciiTheme="majorHAnsi" w:hAnsiTheme="majorHAnsi" w:cstheme="majorHAnsi"/>
                <w:lang w:val="pl-PL"/>
              </w:rPr>
              <w:t>w glebie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 oraz </w:t>
            </w:r>
            <w:r w:rsidRPr="00F07D59">
              <w:rPr>
                <w:rFonts w:asciiTheme="majorHAnsi" w:hAnsiTheme="majorHAnsi" w:cstheme="majorHAnsi"/>
                <w:lang w:val="pl-PL"/>
              </w:rPr>
              <w:t>czynnik</w:t>
            </w:r>
            <w:r w:rsidR="00F76EBB">
              <w:rPr>
                <w:rFonts w:asciiTheme="majorHAnsi" w:hAnsiTheme="majorHAnsi" w:cstheme="majorHAnsi"/>
                <w:lang w:val="pl-PL"/>
              </w:rPr>
              <w:t>ów</w:t>
            </w:r>
            <w:r w:rsidR="005066E1">
              <w:rPr>
                <w:rFonts w:asciiTheme="majorHAnsi" w:hAnsiTheme="majorHAnsi" w:cstheme="majorHAnsi"/>
                <w:lang w:val="pl-PL"/>
              </w:rPr>
              <w:t>,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 które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decydują o jego pobraniu przez rośliny. </w:t>
            </w:r>
            <w:r w:rsidR="005066E1">
              <w:rPr>
                <w:rFonts w:asciiTheme="majorHAnsi" w:hAnsiTheme="majorHAnsi" w:cstheme="majorHAnsi"/>
                <w:lang w:val="pl-PL"/>
              </w:rPr>
              <w:t>Omówienie przemian (</w:t>
            </w:r>
            <w:r w:rsidR="005066E1" w:rsidRPr="005066E1">
              <w:rPr>
                <w:rFonts w:asciiTheme="majorHAnsi" w:hAnsiTheme="majorHAnsi" w:cstheme="majorHAnsi"/>
                <w:lang w:val="pl-PL"/>
              </w:rPr>
              <w:t xml:space="preserve">sorpcja, </w:t>
            </w:r>
            <w:r w:rsidR="00107482">
              <w:rPr>
                <w:rFonts w:asciiTheme="majorHAnsi" w:hAnsiTheme="majorHAnsi" w:cstheme="majorHAnsi"/>
                <w:lang w:val="pl-PL"/>
              </w:rPr>
              <w:t>wymywanie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) jakim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 xml:space="preserve">podlega </w:t>
            </w:r>
            <w:r w:rsidR="00107482">
              <w:rPr>
                <w:rFonts w:asciiTheme="majorHAnsi" w:hAnsiTheme="majorHAnsi" w:cstheme="majorHAnsi"/>
                <w:lang w:val="pl-PL"/>
              </w:rPr>
              <w:t>wapń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 w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gleb</w:t>
            </w:r>
            <w:r w:rsidR="005066E1">
              <w:rPr>
                <w:rFonts w:asciiTheme="majorHAnsi" w:hAnsiTheme="majorHAnsi" w:cstheme="majorHAnsi"/>
                <w:lang w:val="pl-PL"/>
              </w:rPr>
              <w:t>ie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632A814D" w14:textId="77777777" w:rsidTr="007C4DE5">
        <w:tc>
          <w:tcPr>
            <w:tcW w:w="3539" w:type="dxa"/>
          </w:tcPr>
          <w:p w14:paraId="2921FDAE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180DC425" w14:textId="172F2413" w:rsidR="000B40D9" w:rsidRPr="00F07D59" w:rsidRDefault="0010748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Wapń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jako pierwiastek niezbędny</w:t>
            </w:r>
            <w:r w:rsidR="005066E1">
              <w:rPr>
                <w:rFonts w:asciiTheme="majorHAnsi" w:hAnsiTheme="majorHAnsi" w:cstheme="majorHAnsi"/>
                <w:lang w:val="pl-PL"/>
              </w:rPr>
              <w:t>. Z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agrożeni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a wynikające z niewłaściwego stosowania nawozów </w:t>
            </w:r>
            <w:r>
              <w:rPr>
                <w:rFonts w:asciiTheme="majorHAnsi" w:hAnsiTheme="majorHAnsi" w:cstheme="majorHAnsi"/>
                <w:lang w:val="pl-PL"/>
              </w:rPr>
              <w:t>wapniow</w:t>
            </w:r>
            <w:r w:rsidR="005066E1">
              <w:rPr>
                <w:rFonts w:asciiTheme="majorHAnsi" w:hAnsiTheme="majorHAnsi" w:cstheme="majorHAnsi"/>
                <w:lang w:val="pl-PL"/>
              </w:rPr>
              <w:t>ych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24B63933" w14:textId="77777777" w:rsidTr="007C4DE5">
        <w:tc>
          <w:tcPr>
            <w:tcW w:w="3539" w:type="dxa"/>
          </w:tcPr>
          <w:p w14:paraId="70AF5A3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224B165" w14:textId="7777777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234A9F21" w14:textId="77777777" w:rsidTr="007C4DE5">
        <w:tc>
          <w:tcPr>
            <w:tcW w:w="3539" w:type="dxa"/>
          </w:tcPr>
          <w:p w14:paraId="7DBD1445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9BF847D" w14:textId="12AB7AF3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Przedstawienie </w:t>
            </w:r>
            <w:r w:rsidR="00107482">
              <w:rPr>
                <w:rFonts w:asciiTheme="majorHAnsi" w:hAnsiTheme="majorHAnsi" w:cstheme="majorHAnsi"/>
                <w:lang w:val="pl-PL"/>
              </w:rPr>
              <w:t>wapnia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jako składnika, którego zarówno niedobór jak i nadmiar wywołuje negatywne konsekwencje </w:t>
            </w:r>
            <w:r w:rsidR="005066E1">
              <w:rPr>
                <w:rFonts w:asciiTheme="majorHAnsi" w:hAnsiTheme="majorHAnsi" w:cstheme="majorHAnsi"/>
                <w:lang w:val="pl-PL"/>
              </w:rPr>
              <w:t>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roślin,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jakości produkowanej żywności i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dla </w:t>
            </w:r>
            <w:r w:rsidRPr="00F07D59">
              <w:rPr>
                <w:rFonts w:asciiTheme="majorHAnsi" w:hAnsiTheme="majorHAnsi" w:cstheme="majorHAnsi"/>
                <w:lang w:val="pl-PL"/>
              </w:rPr>
              <w:t>środowiska.</w:t>
            </w:r>
            <w:r w:rsidR="009C4BD7"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F07D59">
              <w:rPr>
                <w:rFonts w:asciiTheme="majorHAnsi" w:hAnsiTheme="majorHAnsi" w:cstheme="majorHAnsi"/>
                <w:lang w:val="pl-PL"/>
              </w:rPr>
              <w:t>Prezentacja przykładów.</w:t>
            </w:r>
          </w:p>
        </w:tc>
      </w:tr>
      <w:tr w:rsidR="000B40D9" w:rsidRPr="00B70101" w14:paraId="24A76510" w14:textId="77777777" w:rsidTr="007C4DE5">
        <w:tc>
          <w:tcPr>
            <w:tcW w:w="3539" w:type="dxa"/>
          </w:tcPr>
          <w:p w14:paraId="00C7882A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01BF5834" w14:textId="274056ED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Podstawy kontrolowanego żywienia roślin </w:t>
            </w:r>
            <w:r w:rsidR="00107482">
              <w:rPr>
                <w:rFonts w:asciiTheme="majorHAnsi" w:hAnsiTheme="majorHAnsi" w:cstheme="majorHAnsi"/>
                <w:lang w:val="pl-PL"/>
              </w:rPr>
              <w:t>wapni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em. Diagnostyka stanu odżywienia roślin </w:t>
            </w:r>
            <w:r w:rsidR="000B2BEB"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="00107482">
              <w:rPr>
                <w:rFonts w:asciiTheme="majorHAnsi" w:hAnsiTheme="majorHAnsi" w:cstheme="majorHAnsi"/>
                <w:lang w:val="pl-PL"/>
              </w:rPr>
              <w:t>wapń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7B4FA28D" w14:textId="77777777" w:rsidTr="007C4DE5">
        <w:tc>
          <w:tcPr>
            <w:tcW w:w="3539" w:type="dxa"/>
          </w:tcPr>
          <w:p w14:paraId="44DCCF32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6057B14" w14:textId="7EA7DD1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</w:t>
            </w:r>
            <w:r w:rsidR="000B2BEB">
              <w:rPr>
                <w:rFonts w:asciiTheme="majorHAnsi" w:hAnsiTheme="majorHAnsi" w:cstheme="majorHAnsi"/>
                <w:lang w:val="pl-PL"/>
              </w:rPr>
              <w:t>5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0B40D9" w:rsidRPr="00B70101" w14:paraId="5F8E7393" w14:textId="77777777" w:rsidTr="007C4DE5">
        <w:tc>
          <w:tcPr>
            <w:tcW w:w="3539" w:type="dxa"/>
          </w:tcPr>
          <w:p w14:paraId="391BF7D4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00FF5C8E" w14:textId="5D769C5E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znaczenia </w:t>
            </w:r>
            <w:r w:rsidR="00E34364">
              <w:rPr>
                <w:rFonts w:asciiTheme="majorHAnsi" w:hAnsiTheme="majorHAnsi" w:cstheme="majorHAnsi"/>
                <w:lang w:val="pl-PL"/>
              </w:rPr>
              <w:t xml:space="preserve">zabiegu wapnowania, oraz innych 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dostępnych metod </w:t>
            </w:r>
            <w:r w:rsidRPr="00F07D59">
              <w:rPr>
                <w:rFonts w:asciiTheme="majorHAnsi" w:hAnsiTheme="majorHAnsi" w:cstheme="majorHAnsi"/>
                <w:lang w:val="pl-PL"/>
              </w:rPr>
              <w:t>analiz chemicznych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0B2BEB">
              <w:rPr>
                <w:rFonts w:asciiTheme="majorHAnsi" w:hAnsiTheme="majorHAnsi" w:cstheme="majorHAnsi"/>
                <w:lang w:val="pl-PL"/>
              </w:rPr>
              <w:t>oceny wizualnej wyglądu roślin podczas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 uprawy, archiwizacji danych oraz znaczenia liczb granicznych i zawartości wskaźnikowych przy ustalaniu dawek </w:t>
            </w:r>
            <w:r w:rsidR="00E34364">
              <w:rPr>
                <w:rFonts w:asciiTheme="majorHAnsi" w:hAnsiTheme="majorHAnsi" w:cstheme="majorHAnsi"/>
                <w:lang w:val="pl-PL"/>
              </w:rPr>
              <w:t>wapnia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 oraz w diagnostyce stanu odżywienia roślin</w:t>
            </w:r>
            <w:r w:rsidR="000B2BEB">
              <w:rPr>
                <w:rFonts w:asciiTheme="majorHAnsi" w:hAnsiTheme="majorHAnsi" w:cstheme="majorHAnsi"/>
                <w:lang w:val="pl-PL"/>
              </w:rPr>
              <w:t xml:space="preserve"> w ten pierwiastek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4F29DD10" w14:textId="77777777" w:rsidTr="007C4DE5">
        <w:tc>
          <w:tcPr>
            <w:tcW w:w="3539" w:type="dxa"/>
          </w:tcPr>
          <w:p w14:paraId="76F4ACE3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239967A5" w14:textId="7CE40255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Żywienie </w:t>
            </w:r>
            <w:r w:rsidR="00E34364">
              <w:rPr>
                <w:rFonts w:asciiTheme="majorHAnsi" w:hAnsiTheme="majorHAnsi" w:cstheme="majorHAnsi"/>
                <w:lang w:val="pl-PL"/>
              </w:rPr>
              <w:t>wapni</w:t>
            </w:r>
            <w:r w:rsidR="000B2BEB">
              <w:rPr>
                <w:rFonts w:asciiTheme="majorHAnsi" w:hAnsiTheme="majorHAnsi" w:cstheme="majorHAnsi"/>
                <w:lang w:val="pl-PL"/>
              </w:rPr>
              <w:t>e</w:t>
            </w:r>
            <w:r w:rsidRPr="00F07D59">
              <w:rPr>
                <w:rFonts w:asciiTheme="majorHAnsi" w:hAnsiTheme="majorHAnsi" w:cstheme="majorHAnsi"/>
                <w:lang w:val="pl-PL"/>
              </w:rPr>
              <w:t>m w odniesieniu do warunków i metod uprawy – podstawowe reguły i zalecenia</w:t>
            </w:r>
          </w:p>
        </w:tc>
      </w:tr>
      <w:tr w:rsidR="00F07D59" w:rsidRPr="00F07D59" w14:paraId="43BE7A43" w14:textId="77777777" w:rsidTr="007C4DE5">
        <w:tc>
          <w:tcPr>
            <w:tcW w:w="3539" w:type="dxa"/>
          </w:tcPr>
          <w:p w14:paraId="14128A87" w14:textId="77777777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6591D1C" w14:textId="7777777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F07D59" w:rsidRPr="00F07D59" w14:paraId="695DA445" w14:textId="77777777" w:rsidTr="007C4DE5">
        <w:tc>
          <w:tcPr>
            <w:tcW w:w="3539" w:type="dxa"/>
          </w:tcPr>
          <w:p w14:paraId="7D6533ED" w14:textId="77777777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5</w:t>
            </w:r>
          </w:p>
        </w:tc>
        <w:tc>
          <w:tcPr>
            <w:tcW w:w="5091" w:type="dxa"/>
          </w:tcPr>
          <w:p w14:paraId="2E861844" w14:textId="577510C4" w:rsidR="000B40D9" w:rsidRPr="00F07D59" w:rsidRDefault="009952E3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ogólnych i specyficznych zaleceń w żywieniu roślin </w:t>
            </w:r>
            <w:r w:rsidR="00E34364">
              <w:rPr>
                <w:rFonts w:asciiTheme="majorHAnsi" w:hAnsiTheme="majorHAnsi" w:cstheme="majorHAnsi"/>
                <w:lang w:val="pl-PL"/>
              </w:rPr>
              <w:t>wapni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em w kontekście różnych warunków i metod uprawy oraz technologii nawożenia. 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77777777" w:rsidR="005143E8" w:rsidRPr="000A7EB6" w:rsidRDefault="00521628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Wykład, 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77777777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4583F10A" w14:textId="77777777" w:rsidR="00E34364" w:rsidRP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Feng, D.,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Wang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, X.,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Gao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, J.,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Zhang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, C.,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Liu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, H.,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Liu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, P., Sun, X. 2023.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Exogenous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calcium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: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Its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mechanisms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and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research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advances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involved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in plant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stress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tolerance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Frontiers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in Plant Science, 14: 1143963. https://doi.org/10.3389/fpls.2023.1143963</w:t>
            </w:r>
          </w:p>
          <w:p w14:paraId="71C2D6F5" w14:textId="77777777" w:rsidR="00E34364" w:rsidRP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</w:rPr>
              <w:t>Hadi M.R., Karimi N. 2012. The role of calcium in plants’</w:t>
            </w:r>
            <w:r w:rsidRPr="00E34364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E34364">
              <w:rPr>
                <w:rFonts w:asciiTheme="majorHAnsi" w:hAnsiTheme="majorHAnsi" w:cstheme="majorHAnsi"/>
              </w:rPr>
              <w:t xml:space="preserve">salt tolerance. Journal of </w:t>
            </w:r>
            <w:r w:rsidRPr="00E34364">
              <w:rPr>
                <w:rFonts w:asciiTheme="majorHAnsi" w:hAnsiTheme="majorHAnsi" w:cstheme="majorHAnsi"/>
                <w:lang w:val="pl-PL"/>
              </w:rPr>
              <w:t>P</w:t>
            </w:r>
            <w:r w:rsidRPr="00E34364">
              <w:rPr>
                <w:rFonts w:asciiTheme="majorHAnsi" w:hAnsiTheme="majorHAnsi" w:cstheme="majorHAnsi"/>
              </w:rPr>
              <w:t xml:space="preserve">lant </w:t>
            </w:r>
            <w:r w:rsidRPr="00E34364">
              <w:rPr>
                <w:rFonts w:asciiTheme="majorHAnsi" w:hAnsiTheme="majorHAnsi" w:cstheme="majorHAnsi"/>
                <w:lang w:val="pl-PL"/>
              </w:rPr>
              <w:t>N</w:t>
            </w:r>
            <w:proofErr w:type="spellStart"/>
            <w:r w:rsidRPr="00E34364">
              <w:rPr>
                <w:rFonts w:asciiTheme="majorHAnsi" w:hAnsiTheme="majorHAnsi" w:cstheme="majorHAnsi"/>
              </w:rPr>
              <w:t>utrition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</w:t>
            </w:r>
            <w:r w:rsidRPr="00E34364">
              <w:rPr>
                <w:rFonts w:asciiTheme="majorHAnsi" w:hAnsiTheme="majorHAnsi" w:cstheme="majorHAnsi"/>
              </w:rPr>
              <w:t xml:space="preserve"> 35(13), 2037-2054.</w:t>
            </w:r>
          </w:p>
          <w:p w14:paraId="5ABD7C66" w14:textId="77777777" w:rsidR="00E34364" w:rsidRP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E34364">
              <w:rPr>
                <w:rFonts w:asciiTheme="majorHAnsi" w:hAnsiTheme="majorHAnsi" w:cstheme="majorHAnsi"/>
              </w:rPr>
              <w:t>Hagassou</w:t>
            </w:r>
            <w:proofErr w:type="spellEnd"/>
            <w:r w:rsidRPr="00E34364">
              <w:rPr>
                <w:rFonts w:asciiTheme="majorHAnsi" w:hAnsiTheme="majorHAnsi" w:cstheme="majorHAnsi"/>
              </w:rPr>
              <w:t xml:space="preserve"> D</w:t>
            </w:r>
            <w:r w:rsidRPr="00E34364">
              <w:rPr>
                <w:rFonts w:asciiTheme="majorHAnsi" w:hAnsiTheme="majorHAnsi" w:cstheme="majorHAnsi"/>
                <w:lang w:val="pl-PL"/>
              </w:rPr>
              <w:t>.</w:t>
            </w:r>
            <w:r w:rsidRPr="00E34364">
              <w:rPr>
                <w:rFonts w:asciiTheme="majorHAnsi" w:hAnsiTheme="majorHAnsi" w:cstheme="majorHAnsi"/>
              </w:rPr>
              <w:t>, Francia E</w:t>
            </w:r>
            <w:r w:rsidRPr="00E34364">
              <w:rPr>
                <w:rFonts w:asciiTheme="majorHAnsi" w:hAnsiTheme="majorHAnsi" w:cstheme="majorHAnsi"/>
                <w:lang w:val="pl-PL"/>
              </w:rPr>
              <w:t>.</w:t>
            </w:r>
            <w:r w:rsidRPr="00E34364">
              <w:rPr>
                <w:rFonts w:asciiTheme="majorHAnsi" w:hAnsiTheme="majorHAnsi" w:cstheme="majorHAnsi"/>
              </w:rPr>
              <w:t>, Ronga D</w:t>
            </w:r>
            <w:r w:rsidRPr="00E34364">
              <w:rPr>
                <w:rFonts w:asciiTheme="majorHAnsi" w:hAnsiTheme="majorHAnsi" w:cstheme="majorHAnsi"/>
                <w:lang w:val="pl-PL"/>
              </w:rPr>
              <w:t>.</w:t>
            </w:r>
            <w:r w:rsidRPr="00E34364">
              <w:rPr>
                <w:rFonts w:asciiTheme="majorHAnsi" w:hAnsiTheme="majorHAnsi" w:cstheme="majorHAnsi"/>
              </w:rPr>
              <w:t>, Buti M</w:t>
            </w:r>
            <w:r w:rsidRPr="00E34364">
              <w:rPr>
                <w:rFonts w:asciiTheme="majorHAnsi" w:hAnsiTheme="majorHAnsi" w:cstheme="majorHAnsi"/>
                <w:lang w:val="pl-PL"/>
              </w:rPr>
              <w:t xml:space="preserve">. 2019. </w:t>
            </w:r>
            <w:r w:rsidRPr="00E34364">
              <w:rPr>
                <w:rFonts w:asciiTheme="majorHAnsi" w:hAnsiTheme="majorHAnsi" w:cstheme="majorHAnsi"/>
              </w:rPr>
              <w:t>Blossom end-rot in tomato (</w:t>
            </w:r>
            <w:r w:rsidRPr="00E34364">
              <w:rPr>
                <w:rFonts w:asciiTheme="majorHAnsi" w:hAnsiTheme="majorHAnsi" w:cstheme="majorHAnsi"/>
                <w:i/>
                <w:iCs/>
              </w:rPr>
              <w:t xml:space="preserve">Solanum </w:t>
            </w:r>
            <w:proofErr w:type="spellStart"/>
            <w:r w:rsidRPr="00E34364">
              <w:rPr>
                <w:rFonts w:asciiTheme="majorHAnsi" w:hAnsiTheme="majorHAnsi" w:cstheme="majorHAnsi"/>
                <w:i/>
                <w:iCs/>
              </w:rPr>
              <w:t>lycopersicum</w:t>
            </w:r>
            <w:proofErr w:type="spellEnd"/>
            <w:r w:rsidRPr="00E34364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E34364">
              <w:rPr>
                <w:rFonts w:asciiTheme="majorHAnsi" w:hAnsiTheme="majorHAnsi" w:cstheme="majorHAnsi"/>
              </w:rPr>
              <w:t>L.): A multi-disciplinary overview of inducing factors and control strategies</w:t>
            </w:r>
            <w:r w:rsidRPr="00E34364">
              <w:rPr>
                <w:rFonts w:asciiTheme="majorHAnsi" w:hAnsiTheme="majorHAnsi" w:cstheme="majorHAnsi"/>
                <w:lang w:val="pl-PL"/>
              </w:rPr>
              <w:t xml:space="preserve">. </w:t>
            </w:r>
            <w:r w:rsidRPr="00E34364">
              <w:rPr>
                <w:rFonts w:asciiTheme="majorHAnsi" w:hAnsiTheme="majorHAnsi" w:cstheme="majorHAnsi"/>
                <w:lang w:val="fr-FR"/>
              </w:rPr>
              <w:t>Scientia Horticulturae</w:t>
            </w:r>
            <w:r w:rsidRPr="00E34364">
              <w:rPr>
                <w:rFonts w:asciiTheme="majorHAnsi" w:hAnsiTheme="majorHAnsi" w:cstheme="majorHAnsi"/>
                <w:lang w:val="pl-PL"/>
              </w:rPr>
              <w:t>,</w:t>
            </w:r>
            <w:r w:rsidRPr="00E34364">
              <w:rPr>
                <w:rFonts w:asciiTheme="majorHAnsi" w:hAnsiTheme="majorHAnsi" w:cstheme="majorHAnsi"/>
                <w:lang w:val="fr-FR"/>
              </w:rPr>
              <w:t xml:space="preserve"> 249</w:t>
            </w:r>
            <w:r w:rsidRPr="00E34364">
              <w:rPr>
                <w:rFonts w:asciiTheme="majorHAnsi" w:hAnsiTheme="majorHAnsi" w:cstheme="majorHAnsi"/>
                <w:lang w:val="pl-PL"/>
              </w:rPr>
              <w:t xml:space="preserve">: </w:t>
            </w:r>
            <w:r w:rsidRPr="00E34364">
              <w:rPr>
                <w:rFonts w:asciiTheme="majorHAnsi" w:hAnsiTheme="majorHAnsi" w:cstheme="majorHAnsi"/>
                <w:lang w:val="fr-FR"/>
              </w:rPr>
              <w:t>49-58</w:t>
            </w:r>
            <w:r w:rsidRPr="00E34364">
              <w:rPr>
                <w:rFonts w:asciiTheme="majorHAnsi" w:hAnsiTheme="majorHAnsi" w:cstheme="majorHAnsi"/>
                <w:lang w:val="pl-PL"/>
              </w:rPr>
              <w:t>.</w:t>
            </w:r>
          </w:p>
          <w:p w14:paraId="325A3796" w14:textId="77777777" w:rsidR="00E34364" w:rsidRP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4A1349DC" w14:textId="77777777" w:rsidR="00E34364" w:rsidRP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Medaj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A., Piechura K.,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Skrobot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K., Sokulski S. 2017. Oznaczanie zawartości przyswajalnego dla roślin wapnia w glebie w Dolinie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Kluczwody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metodą ASA. </w:t>
            </w:r>
            <w:proofErr w:type="spellStart"/>
            <w:r w:rsidRPr="00E34364">
              <w:rPr>
                <w:rFonts w:asciiTheme="majorHAnsi" w:hAnsiTheme="majorHAnsi" w:cstheme="majorHAnsi"/>
                <w:lang w:val="pl-PL"/>
              </w:rPr>
              <w:t>Analit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>., 3: 50-55.</w:t>
            </w:r>
          </w:p>
          <w:p w14:paraId="61056AFD" w14:textId="77777777" w:rsidR="00E34364" w:rsidRPr="00E34364" w:rsidRDefault="00E34364" w:rsidP="00E34364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</w:rPr>
              <w:t xml:space="preserve">Saure </w:t>
            </w:r>
            <w:r w:rsidRPr="00E34364">
              <w:rPr>
                <w:rFonts w:asciiTheme="majorHAnsi" w:hAnsiTheme="majorHAnsi" w:cstheme="majorHAnsi"/>
                <w:lang w:val="pl-PL"/>
              </w:rPr>
              <w:t xml:space="preserve">M.C. 2014. </w:t>
            </w:r>
            <w:r w:rsidRPr="00E34364">
              <w:rPr>
                <w:rFonts w:asciiTheme="majorHAnsi" w:hAnsiTheme="majorHAnsi" w:cstheme="majorHAnsi"/>
              </w:rPr>
              <w:t>Why calcium deficiency is not the cause of blossom-end rot in tomato</w:t>
            </w:r>
            <w:r w:rsidRPr="00E34364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E34364">
              <w:rPr>
                <w:rFonts w:asciiTheme="majorHAnsi" w:hAnsiTheme="majorHAnsi" w:cstheme="majorHAnsi"/>
              </w:rPr>
              <w:t>and pepper fruit – a reappraisal</w:t>
            </w:r>
            <w:r w:rsidRPr="00E34364">
              <w:rPr>
                <w:rFonts w:asciiTheme="majorHAnsi" w:hAnsiTheme="majorHAnsi" w:cstheme="majorHAnsi"/>
                <w:lang w:val="pl-PL"/>
              </w:rPr>
              <w:t>.</w:t>
            </w:r>
            <w:r w:rsidRPr="00E34364">
              <w:rPr>
                <w:rFonts w:asciiTheme="majorHAnsi" w:hAnsiTheme="majorHAnsi" w:cstheme="majorHAnsi"/>
              </w:rPr>
              <w:t xml:space="preserve"> Scientia </w:t>
            </w:r>
            <w:proofErr w:type="spellStart"/>
            <w:r w:rsidRPr="00E34364">
              <w:rPr>
                <w:rFonts w:asciiTheme="majorHAnsi" w:hAnsiTheme="majorHAnsi" w:cstheme="majorHAnsi"/>
              </w:rPr>
              <w:t>Horticulturae</w:t>
            </w:r>
            <w:proofErr w:type="spellEnd"/>
            <w:r w:rsidRPr="00E34364">
              <w:rPr>
                <w:rFonts w:asciiTheme="majorHAnsi" w:hAnsiTheme="majorHAnsi" w:cstheme="majorHAnsi"/>
                <w:lang w:val="pl-PL"/>
              </w:rPr>
              <w:t xml:space="preserve"> ,</w:t>
            </w:r>
            <w:r w:rsidRPr="00E34364">
              <w:rPr>
                <w:rFonts w:asciiTheme="majorHAnsi" w:hAnsiTheme="majorHAnsi" w:cstheme="majorHAnsi"/>
              </w:rPr>
              <w:t>174</w:t>
            </w:r>
            <w:r w:rsidRPr="00E34364">
              <w:rPr>
                <w:rFonts w:asciiTheme="majorHAnsi" w:hAnsiTheme="majorHAnsi" w:cstheme="majorHAnsi"/>
                <w:lang w:val="pl-PL"/>
              </w:rPr>
              <w:t>:</w:t>
            </w:r>
            <w:r w:rsidRPr="00E34364">
              <w:rPr>
                <w:rFonts w:asciiTheme="majorHAnsi" w:hAnsiTheme="majorHAnsi" w:cstheme="majorHAnsi"/>
              </w:rPr>
              <w:t xml:space="preserve"> 151-154</w:t>
            </w:r>
            <w:r w:rsidRPr="00E34364">
              <w:rPr>
                <w:rFonts w:asciiTheme="majorHAnsi" w:hAnsiTheme="majorHAnsi" w:cstheme="majorHAnsi"/>
                <w:lang w:val="pl-PL"/>
              </w:rPr>
              <w:t>.</w:t>
            </w:r>
          </w:p>
          <w:p w14:paraId="19B5E84A" w14:textId="77777777" w:rsidR="005143E8" w:rsidRPr="00E34364" w:rsidRDefault="00E34364" w:rsidP="001F5D4A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rFonts w:asciiTheme="majorHAnsi" w:hAnsiTheme="majorHAnsi" w:cstheme="majorHAnsi"/>
              </w:rPr>
              <w:t xml:space="preserve">White P. J., Broadley M.R. 2003. Calcium in plants. Annals of </w:t>
            </w:r>
            <w:r w:rsidRPr="00E34364">
              <w:rPr>
                <w:rFonts w:asciiTheme="majorHAnsi" w:hAnsiTheme="majorHAnsi" w:cstheme="majorHAnsi"/>
                <w:lang w:val="pl-PL"/>
              </w:rPr>
              <w:t>B</w:t>
            </w:r>
            <w:proofErr w:type="spellStart"/>
            <w:r w:rsidRPr="00E34364">
              <w:rPr>
                <w:rFonts w:asciiTheme="majorHAnsi" w:hAnsiTheme="majorHAnsi" w:cstheme="majorHAnsi"/>
              </w:rPr>
              <w:t>otany</w:t>
            </w:r>
            <w:proofErr w:type="spellEnd"/>
            <w:r w:rsidRPr="00E34364">
              <w:rPr>
                <w:rFonts w:asciiTheme="majorHAnsi" w:hAnsiTheme="majorHAnsi" w:cstheme="majorHAnsi"/>
              </w:rPr>
              <w:t>, 92(4), 487-511</w:t>
            </w:r>
          </w:p>
          <w:p w14:paraId="07C9FD26" w14:textId="77777777" w:rsidR="00801E1C" w:rsidRPr="00801E1C" w:rsidRDefault="00E34364" w:rsidP="00801E1C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E34364">
              <w:rPr>
                <w:lang w:val="pl-PL"/>
              </w:rPr>
              <w:t>Wińska-Krysiak M. 2013. Wybrane aspekty transportu i</w:t>
            </w:r>
            <w:r>
              <w:rPr>
                <w:lang w:val="pl-PL"/>
              </w:rPr>
              <w:t xml:space="preserve"> </w:t>
            </w:r>
            <w:r w:rsidRPr="00E34364">
              <w:rPr>
                <w:lang w:val="pl-PL"/>
              </w:rPr>
              <w:t xml:space="preserve">akumulacji wapnia oraz aktywności </w:t>
            </w:r>
            <w:proofErr w:type="spellStart"/>
            <w:r w:rsidRPr="00E34364">
              <w:rPr>
                <w:lang w:val="pl-PL"/>
              </w:rPr>
              <w:t>lipoksygenazy</w:t>
            </w:r>
            <w:proofErr w:type="spellEnd"/>
            <w:r w:rsidRPr="00E34364">
              <w:rPr>
                <w:lang w:val="pl-PL"/>
              </w:rPr>
              <w:t xml:space="preserve"> u jabłoni odmiany ‘</w:t>
            </w:r>
            <w:proofErr w:type="spellStart"/>
            <w:r w:rsidRPr="00E34364">
              <w:rPr>
                <w:lang w:val="pl-PL"/>
              </w:rPr>
              <w:t>Šampion</w:t>
            </w:r>
            <w:proofErr w:type="spellEnd"/>
            <w:r w:rsidRPr="00E34364">
              <w:rPr>
                <w:lang w:val="pl-PL"/>
              </w:rPr>
              <w:t xml:space="preserve">’ i ‘Gala’. Wyd. Wieś Jutra, Warszawa, 129 </w:t>
            </w:r>
            <w:proofErr w:type="spellStart"/>
            <w:r w:rsidRPr="00E34364">
              <w:rPr>
                <w:lang w:val="pl-PL"/>
              </w:rPr>
              <w:t>ss</w:t>
            </w:r>
            <w:proofErr w:type="spellEnd"/>
            <w:r w:rsidRPr="00E34364">
              <w:rPr>
                <w:lang w:val="pl-PL"/>
              </w:rPr>
              <w:t xml:space="preserve"> -12 arkuszy wydawniczych, ISBN: 978-83-62815-14-2</w:t>
            </w:r>
          </w:p>
          <w:p w14:paraId="1614DC66" w14:textId="77777777" w:rsidR="00801E1C" w:rsidRPr="00801E1C" w:rsidRDefault="00801E1C" w:rsidP="00801E1C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801E1C">
              <w:rPr>
                <w:lang w:val="pl-PL"/>
              </w:rPr>
              <w:t xml:space="preserve">Wińska-Krysiak M., Balcerzak K. 2011. The influence of </w:t>
            </w:r>
            <w:proofErr w:type="spellStart"/>
            <w:r w:rsidRPr="00801E1C">
              <w:rPr>
                <w:lang w:val="pl-PL"/>
              </w:rPr>
              <w:t>varied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calcium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nutrition</w:t>
            </w:r>
            <w:proofErr w:type="spellEnd"/>
            <w:r w:rsidRPr="00801E1C">
              <w:rPr>
                <w:lang w:val="pl-PL"/>
              </w:rPr>
              <w:t xml:space="preserve"> on </w:t>
            </w:r>
            <w:proofErr w:type="spellStart"/>
            <w:r w:rsidRPr="00801E1C">
              <w:rPr>
                <w:lang w:val="pl-PL"/>
              </w:rPr>
              <w:t>fruit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yield</w:t>
            </w:r>
            <w:proofErr w:type="spellEnd"/>
            <w:r w:rsidRPr="00801E1C">
              <w:rPr>
                <w:lang w:val="pl-PL"/>
              </w:rPr>
              <w:t xml:space="preserve">, </w:t>
            </w:r>
            <w:proofErr w:type="spellStart"/>
            <w:r w:rsidRPr="00801E1C">
              <w:rPr>
                <w:lang w:val="pl-PL"/>
              </w:rPr>
              <w:t>occurrence</w:t>
            </w:r>
            <w:proofErr w:type="spellEnd"/>
            <w:r w:rsidRPr="00801E1C">
              <w:rPr>
                <w:lang w:val="pl-PL"/>
              </w:rPr>
              <w:t xml:space="preserve"> of </w:t>
            </w:r>
            <w:proofErr w:type="spellStart"/>
            <w:r w:rsidRPr="00801E1C">
              <w:rPr>
                <w:lang w:val="pl-PL"/>
              </w:rPr>
              <w:t>blossom</w:t>
            </w:r>
            <w:proofErr w:type="spellEnd"/>
            <w:r w:rsidRPr="00801E1C">
              <w:rPr>
                <w:lang w:val="pl-PL"/>
              </w:rPr>
              <w:t xml:space="preserve"> end rot and </w:t>
            </w:r>
            <w:proofErr w:type="spellStart"/>
            <w:r w:rsidRPr="00801E1C">
              <w:rPr>
                <w:lang w:val="pl-PL"/>
              </w:rPr>
              <w:t>selected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physiological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parameters</w:t>
            </w:r>
            <w:proofErr w:type="spellEnd"/>
            <w:r w:rsidRPr="00801E1C">
              <w:rPr>
                <w:lang w:val="pl-PL"/>
              </w:rPr>
              <w:t xml:space="preserve"> of </w:t>
            </w:r>
            <w:proofErr w:type="spellStart"/>
            <w:r w:rsidRPr="00801E1C">
              <w:rPr>
                <w:lang w:val="pl-PL"/>
              </w:rPr>
              <w:t>two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hybrid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cultivars</w:t>
            </w:r>
            <w:proofErr w:type="spellEnd"/>
            <w:r w:rsidRPr="00801E1C">
              <w:rPr>
                <w:lang w:val="pl-PL"/>
              </w:rPr>
              <w:t xml:space="preserve"> of </w:t>
            </w:r>
            <w:proofErr w:type="spellStart"/>
            <w:r w:rsidRPr="00801E1C">
              <w:rPr>
                <w:lang w:val="pl-PL"/>
              </w:rPr>
              <w:t>tomato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cultivated</w:t>
            </w:r>
            <w:proofErr w:type="spellEnd"/>
            <w:r w:rsidRPr="00801E1C">
              <w:rPr>
                <w:lang w:val="pl-PL"/>
              </w:rPr>
              <w:t xml:space="preserve"> in </w:t>
            </w:r>
            <w:proofErr w:type="spellStart"/>
            <w:r w:rsidRPr="00801E1C">
              <w:rPr>
                <w:lang w:val="pl-PL"/>
              </w:rPr>
              <w:t>coconut</w:t>
            </w:r>
            <w:proofErr w:type="spellEnd"/>
            <w:r w:rsidRPr="00801E1C">
              <w:rPr>
                <w:lang w:val="pl-PL"/>
              </w:rPr>
              <w:t xml:space="preserve"> </w:t>
            </w:r>
            <w:proofErr w:type="spellStart"/>
            <w:r w:rsidRPr="00801E1C">
              <w:rPr>
                <w:lang w:val="pl-PL"/>
              </w:rPr>
              <w:t>fiber</w:t>
            </w:r>
            <w:proofErr w:type="spellEnd"/>
            <w:r w:rsidRPr="00801E1C">
              <w:rPr>
                <w:lang w:val="pl-PL"/>
              </w:rPr>
              <w:t xml:space="preserve">. </w:t>
            </w:r>
            <w:proofErr w:type="spellStart"/>
            <w:r w:rsidRPr="00801E1C">
              <w:rPr>
                <w:lang w:val="pl-PL"/>
              </w:rPr>
              <w:t>Annals</w:t>
            </w:r>
            <w:proofErr w:type="spellEnd"/>
            <w:r w:rsidRPr="00801E1C">
              <w:rPr>
                <w:lang w:val="pl-PL"/>
              </w:rPr>
              <w:t xml:space="preserve"> of </w:t>
            </w:r>
            <w:proofErr w:type="spellStart"/>
            <w:r w:rsidRPr="00801E1C">
              <w:rPr>
                <w:lang w:val="pl-PL"/>
              </w:rPr>
              <w:t>Warsaw</w:t>
            </w:r>
            <w:proofErr w:type="spellEnd"/>
            <w:r w:rsidRPr="00801E1C">
              <w:rPr>
                <w:lang w:val="pl-PL"/>
              </w:rPr>
              <w:t xml:space="preserve"> University of Life Science – SGGW </w:t>
            </w:r>
            <w:proofErr w:type="spellStart"/>
            <w:r w:rsidRPr="00801E1C">
              <w:rPr>
                <w:lang w:val="pl-PL"/>
              </w:rPr>
              <w:t>Horticulture</w:t>
            </w:r>
            <w:proofErr w:type="spellEnd"/>
            <w:r w:rsidRPr="00801E1C">
              <w:rPr>
                <w:lang w:val="pl-PL"/>
              </w:rPr>
              <w:t xml:space="preserve"> and </w:t>
            </w:r>
            <w:proofErr w:type="spellStart"/>
            <w:r w:rsidRPr="00801E1C">
              <w:rPr>
                <w:lang w:val="pl-PL"/>
              </w:rPr>
              <w:t>Landscape</w:t>
            </w:r>
            <w:proofErr w:type="spellEnd"/>
            <w:r w:rsidRPr="00801E1C">
              <w:rPr>
                <w:lang w:val="pl-PL"/>
              </w:rPr>
              <w:t xml:space="preserve"> Architecture, 32: 25-33.</w:t>
            </w:r>
          </w:p>
          <w:p w14:paraId="2C188A92" w14:textId="2146BA31" w:rsidR="00801E1C" w:rsidRPr="00801E1C" w:rsidRDefault="00801E1C" w:rsidP="00801E1C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lang w:val="pl-PL"/>
              </w:rPr>
            </w:pPr>
            <w:r w:rsidRPr="00801E1C">
              <w:rPr>
                <w:lang w:val="pl-PL"/>
              </w:rPr>
              <w:t xml:space="preserve">Wińska-Krysiak M. 2006. Białka transportujące wapń w roślinie. Acta </w:t>
            </w:r>
            <w:proofErr w:type="spellStart"/>
            <w:r w:rsidRPr="00801E1C">
              <w:rPr>
                <w:lang w:val="pl-PL"/>
              </w:rPr>
              <w:t>Agrophysica</w:t>
            </w:r>
            <w:proofErr w:type="spellEnd"/>
            <w:r w:rsidRPr="00801E1C">
              <w:rPr>
                <w:lang w:val="pl-PL"/>
              </w:rPr>
              <w:t>, 7 (3): 751-762</w:t>
            </w:r>
            <w:r>
              <w:rPr>
                <w:lang w:val="pl-PL"/>
              </w:rPr>
              <w:t>.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3CAC75C6" w:rsidR="00C66032" w:rsidRPr="00406DA8" w:rsidRDefault="00406DA8" w:rsidP="00B57AD5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 xml:space="preserve">Student zna i rozumie w zaawansowanym stopniu: 1)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niezbędność różnych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składników mineralnych w żywieniu roślin,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zrównoważonego ich wprowadzania 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B57AD5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77777777" w:rsidR="00C66032" w:rsidRPr="000A7EB6" w:rsidRDefault="0098181E" w:rsidP="008A6413">
            <w:pPr>
              <w:rPr>
                <w:rFonts w:asciiTheme="majorHAnsi" w:hAnsiTheme="majorHAnsi" w:cstheme="majorHAnsi"/>
                <w:strike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Egzamin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24E8CE6F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5D5B4342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</w:tbl>
    <w:p w14:paraId="53C257E1" w14:textId="0620909B" w:rsidR="007A1156" w:rsidRDefault="007A1156" w:rsidP="00082AB2">
      <w:pPr>
        <w:rPr>
          <w:lang w:val="pl-PL"/>
        </w:rPr>
      </w:pPr>
    </w:p>
    <w:p w14:paraId="2AD59D9D" w14:textId="77777777" w:rsidR="00165C5E" w:rsidRDefault="00165C5E" w:rsidP="00082AB2">
      <w:pPr>
        <w:rPr>
          <w:lang w:val="pl-PL"/>
        </w:rPr>
      </w:pPr>
    </w:p>
    <w:p w14:paraId="46739E1D" w14:textId="77777777" w:rsidR="00165C5E" w:rsidRPr="00837332" w:rsidRDefault="00165C5E" w:rsidP="00165C5E">
      <w:pPr>
        <w:spacing w:after="160" w:line="259" w:lineRule="auto"/>
      </w:pPr>
      <w:r w:rsidRPr="00837332">
        <w:t>CC BY 4.0</w:t>
      </w:r>
    </w:p>
    <w:p w14:paraId="5C8590F4" w14:textId="77777777" w:rsidR="00165C5E" w:rsidRPr="00837332" w:rsidRDefault="00165C5E" w:rsidP="00165C5E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0B16D95B" w14:textId="77777777" w:rsidR="00165C5E" w:rsidRPr="00837332" w:rsidRDefault="00165C5E" w:rsidP="00165C5E">
      <w:pPr>
        <w:spacing w:after="160" w:line="259" w:lineRule="auto"/>
      </w:pPr>
      <w:hyperlink r:id="rId11" w:history="1">
        <w:r w:rsidRPr="00837332">
          <w:rPr>
            <w:rStyle w:val="Hipercze"/>
          </w:rPr>
          <w:t>https://creativecommons.org/licenses/by/4.0/deed.pl</w:t>
        </w:r>
      </w:hyperlink>
    </w:p>
    <w:p w14:paraId="069D1D14" w14:textId="77777777" w:rsidR="00165C5E" w:rsidRPr="00837332" w:rsidRDefault="00165C5E" w:rsidP="00165C5E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53F3AE54" w14:textId="77777777" w:rsidR="00165C5E" w:rsidRDefault="00165C5E" w:rsidP="00082AB2">
      <w:pPr>
        <w:rPr>
          <w:lang w:val="pl-PL"/>
        </w:rPr>
      </w:pPr>
    </w:p>
    <w:sectPr w:rsidR="00165C5E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3929" w14:textId="77777777" w:rsidR="00F14695" w:rsidRDefault="00F14695" w:rsidP="00521628">
      <w:pPr>
        <w:spacing w:after="0" w:line="240" w:lineRule="auto"/>
      </w:pPr>
      <w:r>
        <w:separator/>
      </w:r>
    </w:p>
  </w:endnote>
  <w:endnote w:type="continuationSeparator" w:id="0">
    <w:p w14:paraId="1CB32E69" w14:textId="77777777" w:rsidR="00F14695" w:rsidRDefault="00F14695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AE95" w14:textId="77777777" w:rsidR="00F14695" w:rsidRDefault="00F14695" w:rsidP="00521628">
      <w:pPr>
        <w:spacing w:after="0" w:line="240" w:lineRule="auto"/>
      </w:pPr>
      <w:r>
        <w:separator/>
      </w:r>
    </w:p>
  </w:footnote>
  <w:footnote w:type="continuationSeparator" w:id="0">
    <w:p w14:paraId="6AF12882" w14:textId="77777777" w:rsidR="00F14695" w:rsidRDefault="00F14695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6FDF"/>
    <w:multiLevelType w:val="hybridMultilevel"/>
    <w:tmpl w:val="0A6661D6"/>
    <w:lvl w:ilvl="0" w:tplc="AC1A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A4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3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82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C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A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4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21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040603">
    <w:abstractNumId w:val="8"/>
  </w:num>
  <w:num w:numId="2" w16cid:durableId="806094712">
    <w:abstractNumId w:val="6"/>
  </w:num>
  <w:num w:numId="3" w16cid:durableId="2007390831">
    <w:abstractNumId w:val="5"/>
  </w:num>
  <w:num w:numId="4" w16cid:durableId="1472988544">
    <w:abstractNumId w:val="4"/>
  </w:num>
  <w:num w:numId="5" w16cid:durableId="1424913925">
    <w:abstractNumId w:val="7"/>
  </w:num>
  <w:num w:numId="6" w16cid:durableId="466359807">
    <w:abstractNumId w:val="3"/>
  </w:num>
  <w:num w:numId="7" w16cid:durableId="1395933225">
    <w:abstractNumId w:val="2"/>
  </w:num>
  <w:num w:numId="8" w16cid:durableId="1478180834">
    <w:abstractNumId w:val="1"/>
  </w:num>
  <w:num w:numId="9" w16cid:durableId="1480881715">
    <w:abstractNumId w:val="0"/>
  </w:num>
  <w:num w:numId="10" w16cid:durableId="2031374529">
    <w:abstractNumId w:val="13"/>
  </w:num>
  <w:num w:numId="11" w16cid:durableId="169612591">
    <w:abstractNumId w:val="16"/>
  </w:num>
  <w:num w:numId="12" w16cid:durableId="1320234172">
    <w:abstractNumId w:val="12"/>
  </w:num>
  <w:num w:numId="13" w16cid:durableId="1797140083">
    <w:abstractNumId w:val="15"/>
  </w:num>
  <w:num w:numId="14" w16cid:durableId="113328598">
    <w:abstractNumId w:val="14"/>
  </w:num>
  <w:num w:numId="15" w16cid:durableId="804471315">
    <w:abstractNumId w:val="11"/>
  </w:num>
  <w:num w:numId="16" w16cid:durableId="2052220829">
    <w:abstractNumId w:val="10"/>
  </w:num>
  <w:num w:numId="17" w16cid:durableId="1243180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30816"/>
    <w:rsid w:val="00034616"/>
    <w:rsid w:val="000375B5"/>
    <w:rsid w:val="0006063C"/>
    <w:rsid w:val="00077043"/>
    <w:rsid w:val="00082AB2"/>
    <w:rsid w:val="000851D8"/>
    <w:rsid w:val="00091956"/>
    <w:rsid w:val="000A7EB6"/>
    <w:rsid w:val="000B2BEB"/>
    <w:rsid w:val="000B40D9"/>
    <w:rsid w:val="000E633D"/>
    <w:rsid w:val="000F1F39"/>
    <w:rsid w:val="00107482"/>
    <w:rsid w:val="001210B4"/>
    <w:rsid w:val="001355BA"/>
    <w:rsid w:val="0014086C"/>
    <w:rsid w:val="0015074B"/>
    <w:rsid w:val="00165C5E"/>
    <w:rsid w:val="001B6CFF"/>
    <w:rsid w:val="001C2198"/>
    <w:rsid w:val="001D2B22"/>
    <w:rsid w:val="001F5D4A"/>
    <w:rsid w:val="00222E85"/>
    <w:rsid w:val="00224AE9"/>
    <w:rsid w:val="00284791"/>
    <w:rsid w:val="0029639D"/>
    <w:rsid w:val="002B1689"/>
    <w:rsid w:val="002C068C"/>
    <w:rsid w:val="002F0DA9"/>
    <w:rsid w:val="002F6513"/>
    <w:rsid w:val="00314F5F"/>
    <w:rsid w:val="00326F90"/>
    <w:rsid w:val="00337580"/>
    <w:rsid w:val="00346390"/>
    <w:rsid w:val="003628CD"/>
    <w:rsid w:val="003805E8"/>
    <w:rsid w:val="0038490F"/>
    <w:rsid w:val="003920A9"/>
    <w:rsid w:val="003F6B02"/>
    <w:rsid w:val="00406DA8"/>
    <w:rsid w:val="0044797C"/>
    <w:rsid w:val="00450074"/>
    <w:rsid w:val="004B726D"/>
    <w:rsid w:val="004C3B3F"/>
    <w:rsid w:val="004E2219"/>
    <w:rsid w:val="004E79EF"/>
    <w:rsid w:val="004F0072"/>
    <w:rsid w:val="005066E1"/>
    <w:rsid w:val="005143E8"/>
    <w:rsid w:val="00521628"/>
    <w:rsid w:val="0058212E"/>
    <w:rsid w:val="005B1338"/>
    <w:rsid w:val="005C39B5"/>
    <w:rsid w:val="00612384"/>
    <w:rsid w:val="006241E8"/>
    <w:rsid w:val="00661996"/>
    <w:rsid w:val="006B724A"/>
    <w:rsid w:val="006C1D95"/>
    <w:rsid w:val="007273F1"/>
    <w:rsid w:val="00733D85"/>
    <w:rsid w:val="007A1156"/>
    <w:rsid w:val="007B621E"/>
    <w:rsid w:val="007C4DE5"/>
    <w:rsid w:val="00801E1C"/>
    <w:rsid w:val="00834DE3"/>
    <w:rsid w:val="008D14B4"/>
    <w:rsid w:val="009034CC"/>
    <w:rsid w:val="009127F2"/>
    <w:rsid w:val="0092286B"/>
    <w:rsid w:val="00947699"/>
    <w:rsid w:val="00976B8B"/>
    <w:rsid w:val="0098181E"/>
    <w:rsid w:val="009952E3"/>
    <w:rsid w:val="009A0A9B"/>
    <w:rsid w:val="009C4BD7"/>
    <w:rsid w:val="00A26C12"/>
    <w:rsid w:val="00A4244C"/>
    <w:rsid w:val="00AA1D8D"/>
    <w:rsid w:val="00AC1286"/>
    <w:rsid w:val="00AE2FF0"/>
    <w:rsid w:val="00B47730"/>
    <w:rsid w:val="00B51732"/>
    <w:rsid w:val="00B57AD5"/>
    <w:rsid w:val="00B70101"/>
    <w:rsid w:val="00B734AA"/>
    <w:rsid w:val="00BA383D"/>
    <w:rsid w:val="00BA4DD9"/>
    <w:rsid w:val="00BE192A"/>
    <w:rsid w:val="00C04DF8"/>
    <w:rsid w:val="00C21B51"/>
    <w:rsid w:val="00C24EDB"/>
    <w:rsid w:val="00C3691F"/>
    <w:rsid w:val="00C5174D"/>
    <w:rsid w:val="00C551F5"/>
    <w:rsid w:val="00C66032"/>
    <w:rsid w:val="00C90D7A"/>
    <w:rsid w:val="00CB0664"/>
    <w:rsid w:val="00CD20C4"/>
    <w:rsid w:val="00CD3CAF"/>
    <w:rsid w:val="00CF6D99"/>
    <w:rsid w:val="00D00937"/>
    <w:rsid w:val="00D054A7"/>
    <w:rsid w:val="00D64982"/>
    <w:rsid w:val="00D724E7"/>
    <w:rsid w:val="00DD46EF"/>
    <w:rsid w:val="00E20C95"/>
    <w:rsid w:val="00E316F3"/>
    <w:rsid w:val="00E34364"/>
    <w:rsid w:val="00EA416C"/>
    <w:rsid w:val="00EB6BE9"/>
    <w:rsid w:val="00EC3D06"/>
    <w:rsid w:val="00F07D59"/>
    <w:rsid w:val="00F14695"/>
    <w:rsid w:val="00F328A1"/>
    <w:rsid w:val="00F64836"/>
    <w:rsid w:val="00F76EBB"/>
    <w:rsid w:val="00FC693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65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0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2026-03-19T14:46:00Z</dcterms:created>
  <dcterms:modified xsi:type="dcterms:W3CDTF">2026-03-23T09:45:00Z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