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BB34A" w14:textId="65026B1C" w:rsidR="0000726C" w:rsidRDefault="0000726C" w:rsidP="00BB0499"/>
    <w:p w14:paraId="28D3F966" w14:textId="543D110B" w:rsidR="007E4E2F" w:rsidRPr="00152B4A" w:rsidRDefault="007E4E2F" w:rsidP="00BB0499">
      <w:pPr>
        <w:rPr>
          <w:i/>
        </w:rPr>
      </w:pPr>
      <w:r w:rsidRPr="00152B4A">
        <w:rPr>
          <w:i/>
        </w:rPr>
        <w:t xml:space="preserve">Na podstawie informacji z witryny rządowej: </w:t>
      </w:r>
      <w:hyperlink r:id="rId11" w:history="1">
        <w:r w:rsidRPr="00152B4A">
          <w:rPr>
            <w:rStyle w:val="Hipercze"/>
            <w:i/>
          </w:rPr>
          <w:t>Rolnictwo 4.0 – początek rewolucji? Raport NCBR - Narodowe Centrum Badań i Rozwoju - Portal Gov.pl</w:t>
        </w:r>
      </w:hyperlink>
    </w:p>
    <w:p w14:paraId="4A7A8B27" w14:textId="77777777" w:rsidR="007E4E2F" w:rsidRPr="007E4E2F" w:rsidRDefault="007E4E2F" w:rsidP="00152B4A">
      <w:pPr>
        <w:pStyle w:val="Tytu"/>
        <w:rPr>
          <w:rFonts w:eastAsia="Times New Roman"/>
          <w:lang w:eastAsia="pl-PL"/>
        </w:rPr>
      </w:pPr>
      <w:r w:rsidRPr="007E4E2F">
        <w:rPr>
          <w:rFonts w:eastAsia="Times New Roman"/>
          <w:lang w:eastAsia="pl-PL"/>
        </w:rPr>
        <w:t>Rolnictwo 4.0 – początek rewolucji? Raport NCBR</w:t>
      </w:r>
    </w:p>
    <w:p w14:paraId="5A3929BD" w14:textId="77777777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 w:val="21"/>
          <w:szCs w:val="21"/>
          <w:lang w:eastAsia="pl-PL"/>
        </w:rPr>
      </w:pPr>
      <w:r w:rsidRPr="007E4E2F">
        <w:rPr>
          <w:rFonts w:eastAsia="Times New Roman" w:cs="Arial"/>
          <w:color w:val="1B1B1B"/>
          <w:sz w:val="21"/>
          <w:szCs w:val="21"/>
          <w:lang w:eastAsia="pl-PL"/>
        </w:rPr>
        <w:t>19.07.2023</w:t>
      </w:r>
    </w:p>
    <w:p w14:paraId="2CF9E957" w14:textId="77777777" w:rsidR="00152B4A" w:rsidRDefault="00152B4A">
      <w:pPr>
        <w:spacing w:after="160" w:line="259" w:lineRule="auto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eastAsia="pl-PL"/>
        </w:rPr>
      </w:pPr>
      <w:r>
        <w:br w:type="page"/>
      </w:r>
    </w:p>
    <w:sdt>
      <w:sdtPr>
        <w:rPr>
          <w:rFonts w:ascii="Arial" w:eastAsiaTheme="minorHAnsi" w:hAnsi="Arial" w:cstheme="minorBidi"/>
          <w:color w:val="auto"/>
          <w:sz w:val="24"/>
          <w:szCs w:val="22"/>
          <w:lang w:eastAsia="en-US"/>
        </w:rPr>
        <w:id w:val="10078619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BE8E6F" w14:textId="58F7941C" w:rsidR="00152B4A" w:rsidRDefault="00152B4A">
          <w:pPr>
            <w:pStyle w:val="Nagwekspisutreci"/>
          </w:pPr>
          <w:r>
            <w:t>Spis treści</w:t>
          </w:r>
        </w:p>
        <w:p w14:paraId="2B6AC5B0" w14:textId="662DEA02" w:rsidR="00152B4A" w:rsidRDefault="00152B4A">
          <w:pPr>
            <w:pStyle w:val="Spistreci1"/>
            <w:tabs>
              <w:tab w:val="right" w:leader="dot" w:pos="9062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6002983" w:history="1">
            <w:r w:rsidRPr="0083789F">
              <w:rPr>
                <w:rStyle w:val="Hipercze"/>
                <w:rFonts w:eastAsia="Times New Roman"/>
                <w:noProof/>
                <w:lang w:eastAsia="pl-PL"/>
              </w:rPr>
              <w:t>Wstęp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_Toc206002983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2EAC6E" w14:textId="0DA2B51C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84" w:history="1">
            <w:r w:rsidR="00152B4A" w:rsidRPr="0083789F">
              <w:rPr>
                <w:rStyle w:val="Hipercze"/>
                <w:noProof/>
              </w:rPr>
              <w:t>Zakres publikacji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_Toc206002984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1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2B99DA58" w14:textId="6FFC3769" w:rsidR="00152B4A" w:rsidRDefault="00200FFA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206002985" w:history="1">
            <w:r w:rsidR="00152B4A" w:rsidRPr="0083789F">
              <w:rPr>
                <w:rStyle w:val="Hipercze"/>
                <w:rFonts w:eastAsia="Times New Roman"/>
                <w:noProof/>
                <w:lang w:eastAsia="pl-PL"/>
              </w:rPr>
              <w:t>Sztuczna inteligencja na polu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_Toc206002985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2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485A2867" w14:textId="0AA8285F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86" w:history="1">
            <w:r w:rsidR="00152B4A" w:rsidRPr="0083789F">
              <w:rPr>
                <w:rStyle w:val="Hipercze"/>
                <w:noProof/>
              </w:rPr>
              <w:t>Cele badania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_Toc206002986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2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45CCC75E" w14:textId="58DA24E0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87" w:history="1">
            <w:r w:rsidR="00152B4A" w:rsidRPr="0083789F">
              <w:rPr>
                <w:rStyle w:val="Hipercze"/>
                <w:noProof/>
              </w:rPr>
              <w:t>Mapa drogowa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_Toc206002987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2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5C0933B8" w14:textId="5768B54A" w:rsidR="00152B4A" w:rsidRDefault="00200FFA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206002988" w:history="1">
            <w:r w:rsidR="00152B4A" w:rsidRPr="0083789F">
              <w:rPr>
                <w:rStyle w:val="Hipercze"/>
                <w:rFonts w:eastAsia="Times New Roman"/>
                <w:noProof/>
                <w:lang w:eastAsia="pl-PL"/>
              </w:rPr>
              <w:t>Polskie innowacje dla rolnictwa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_Toc206002988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3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6811FA20" w14:textId="0F4ED708" w:rsidR="00152B4A" w:rsidRDefault="00200FFA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206002989" w:history="1">
            <w:r w:rsidR="00152B4A" w:rsidRPr="0083789F">
              <w:rPr>
                <w:rStyle w:val="Hipercze"/>
                <w:rFonts w:eastAsia="Times New Roman"/>
                <w:noProof/>
                <w:lang w:eastAsia="pl-PL"/>
              </w:rPr>
              <w:t>Jak wspierać rozwój Rolnictwa 4.0?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_Toc206002989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3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14B58721" w14:textId="0FFAE19A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90" w:history="1">
            <w:r w:rsidR="00152B4A" w:rsidRPr="0083789F">
              <w:rPr>
                <w:rStyle w:val="Hipercze"/>
                <w:noProof/>
              </w:rPr>
              <w:t>Eksperci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_Toc206002990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3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130DA6E0" w14:textId="0038385C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91" w:history="1">
            <w:r w:rsidR="00152B4A" w:rsidRPr="0083789F">
              <w:rPr>
                <w:rStyle w:val="Hipercze"/>
                <w:noProof/>
              </w:rPr>
              <w:t>Autorzy raportu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_Toc206002991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4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0DC7A776" w14:textId="04E1062B" w:rsidR="00152B4A" w:rsidRDefault="00200FFA">
          <w:pPr>
            <w:pStyle w:val="Spistreci2"/>
            <w:tabs>
              <w:tab w:val="right" w:leader="dot" w:pos="9062"/>
            </w:tabs>
            <w:rPr>
              <w:noProof/>
            </w:rPr>
          </w:pPr>
          <w:hyperlink w:anchor="_Toc206002992" w:history="1">
            <w:r w:rsidR="00152B4A" w:rsidRPr="0083789F">
              <w:rPr>
                <w:rStyle w:val="Hipercze"/>
                <w:noProof/>
              </w:rPr>
              <w:t>Rekomendacje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_Toc206002992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4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3F70034E" w14:textId="77024152" w:rsidR="00152B4A" w:rsidRDefault="00200FFA">
          <w:pPr>
            <w:pStyle w:val="Spistreci3"/>
            <w:tabs>
              <w:tab w:val="right" w:leader="dot" w:pos="9062"/>
            </w:tabs>
            <w:rPr>
              <w:noProof/>
            </w:rPr>
          </w:pPr>
          <w:hyperlink w:anchor="_Toc206002993" w:history="1">
            <w:r w:rsidR="00152B4A" w:rsidRPr="0083789F">
              <w:rPr>
                <w:rStyle w:val="Hipercze"/>
                <w:noProof/>
              </w:rPr>
              <w:t>Pobierz raport</w:t>
            </w:r>
            <w:r w:rsidR="00152B4A">
              <w:rPr>
                <w:noProof/>
                <w:webHidden/>
              </w:rPr>
              <w:tab/>
            </w:r>
            <w:r w:rsidR="00152B4A">
              <w:rPr>
                <w:noProof/>
                <w:webHidden/>
              </w:rPr>
              <w:fldChar w:fldCharType="begin"/>
            </w:r>
            <w:r w:rsidR="00152B4A">
              <w:rPr>
                <w:noProof/>
                <w:webHidden/>
              </w:rPr>
              <w:instrText xml:space="preserve"> PAGEREF _Toc206002993 \h </w:instrText>
            </w:r>
            <w:r w:rsidR="00152B4A">
              <w:rPr>
                <w:noProof/>
                <w:webHidden/>
              </w:rPr>
            </w:r>
            <w:r w:rsidR="00152B4A">
              <w:rPr>
                <w:noProof/>
                <w:webHidden/>
              </w:rPr>
              <w:fldChar w:fldCharType="separate"/>
            </w:r>
            <w:r w:rsidR="00152B4A">
              <w:rPr>
                <w:noProof/>
                <w:webHidden/>
              </w:rPr>
              <w:t>4</w:t>
            </w:r>
            <w:r w:rsidR="00152B4A">
              <w:rPr>
                <w:noProof/>
                <w:webHidden/>
              </w:rPr>
              <w:fldChar w:fldCharType="end"/>
            </w:r>
          </w:hyperlink>
        </w:p>
        <w:p w14:paraId="786B01AD" w14:textId="2C90D0AA" w:rsidR="00152B4A" w:rsidRDefault="00152B4A">
          <w:r>
            <w:rPr>
              <w:b/>
              <w:bCs/>
            </w:rPr>
            <w:fldChar w:fldCharType="end"/>
          </w:r>
        </w:p>
      </w:sdtContent>
    </w:sdt>
    <w:p w14:paraId="53E3E74A" w14:textId="77777777" w:rsidR="00152B4A" w:rsidRDefault="00152B4A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b/>
          <w:bCs/>
          <w:color w:val="1B1B1B"/>
          <w:szCs w:val="24"/>
          <w:lang w:eastAsia="pl-PL"/>
        </w:rPr>
      </w:pPr>
    </w:p>
    <w:p w14:paraId="2CD5D432" w14:textId="77777777" w:rsidR="00152B4A" w:rsidRDefault="00152B4A" w:rsidP="00152B4A">
      <w:pPr>
        <w:pStyle w:val="Nagwek1"/>
        <w:rPr>
          <w:rFonts w:eastAsia="Times New Roman"/>
          <w:lang w:eastAsia="pl-PL"/>
        </w:rPr>
      </w:pPr>
      <w:bookmarkStart w:id="0" w:name="_Toc206002983"/>
      <w:r>
        <w:rPr>
          <w:rFonts w:eastAsia="Times New Roman"/>
          <w:lang w:eastAsia="pl-PL"/>
        </w:rPr>
        <w:t>Wstęp</w:t>
      </w:r>
      <w:bookmarkEnd w:id="0"/>
    </w:p>
    <w:p w14:paraId="5E032EF2" w14:textId="09AC2A0C" w:rsidR="007E4E2F" w:rsidRPr="007E4E2F" w:rsidRDefault="007E4E2F" w:rsidP="00152B4A">
      <w:pPr>
        <w:rPr>
          <w:lang w:eastAsia="pl-PL"/>
        </w:rPr>
      </w:pPr>
      <w:r w:rsidRPr="007E4E2F">
        <w:rPr>
          <w:lang w:eastAsia="pl-PL"/>
        </w:rPr>
        <w:t>Zmiany w rolnictwie będą napędzane przez zwiększoną łączność i przepustowość transmisji danych z wykorzystaniem szybkiego Internetu. W nieodległej przyszłości na polskich polach będą pracować roboty, drony i urządzenia autonomiczne, które umożliwią zautomatyzowanie większości procesów. Wzrośnie rola sztucznej inteligencji i uczenia maszynowego – wynika z raportu „Rolnictwo 4.0. Identyfikacja trendów technologicznych”, przygotowanego przez Narodowe Centrum Badań i Rozwoju. Dowiedz się, jakie wnioski wyciągają jego autorzy na podstawie analizy stanu obecnego i potencjału naszego kraju w obszarze innowacji rolniczych.</w:t>
      </w:r>
    </w:p>
    <w:p w14:paraId="3B2CDA59" w14:textId="21B09CF1" w:rsidR="007E4E2F" w:rsidRDefault="00200FFA" w:rsidP="007E4E2F">
      <w:pPr>
        <w:shd w:val="clear" w:color="auto" w:fill="FFFFFF"/>
        <w:spacing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200FFA">
        <w:rPr>
          <w:rFonts w:eastAsia="Times New Roman" w:cs="Arial"/>
          <w:color w:val="1B1B1B"/>
          <w:szCs w:val="24"/>
          <w:lang w:eastAsia="pl-PL"/>
        </w:rPr>
        <w:drawing>
          <wp:inline distT="0" distB="0" distL="0" distR="0" wp14:anchorId="0F81A065" wp14:editId="7AF30A2B">
            <wp:extent cx="4410691" cy="1867161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7A5A4354" w14:textId="3BA2A38D" w:rsidR="00152B4A" w:rsidRPr="007E4E2F" w:rsidRDefault="00152B4A" w:rsidP="00152B4A">
      <w:pPr>
        <w:pStyle w:val="Legenda"/>
        <w:rPr>
          <w:rFonts w:eastAsia="Times New Roman" w:cs="Arial"/>
          <w:color w:val="1B1B1B"/>
          <w:szCs w:val="24"/>
          <w:lang w:eastAsia="pl-PL"/>
        </w:rPr>
      </w:pPr>
      <w:r>
        <w:t xml:space="preserve">Rysunek </w:t>
      </w:r>
      <w:r w:rsidR="00200FFA">
        <w:fldChar w:fldCharType="begin"/>
      </w:r>
      <w:r w:rsidR="00200FFA">
        <w:instrText xml:space="preserve"> SEQ Rysunek \* ARABIC </w:instrText>
      </w:r>
      <w:r w:rsidR="00200FFA">
        <w:fldChar w:fldCharType="separate"/>
      </w:r>
      <w:r>
        <w:rPr>
          <w:noProof/>
        </w:rPr>
        <w:t>1</w:t>
      </w:r>
      <w:r w:rsidR="00200FFA">
        <w:rPr>
          <w:noProof/>
        </w:rPr>
        <w:fldChar w:fldCharType="end"/>
      </w:r>
      <w:r>
        <w:t xml:space="preserve"> Baner raportu</w:t>
      </w:r>
    </w:p>
    <w:p w14:paraId="1AA93AA7" w14:textId="77777777" w:rsidR="00152B4A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lastRenderedPageBreak/>
        <w:t xml:space="preserve">Eksperci NCBR z Sekcji Analiz i Ewaluacji: Monika Kordowska, Michał Baranowski, Jolanta Pisarek, Zbysław </w:t>
      </w:r>
      <w:proofErr w:type="spellStart"/>
      <w:r w:rsidRPr="007E4E2F">
        <w:rPr>
          <w:rFonts w:eastAsia="Times New Roman" w:cs="Arial"/>
          <w:color w:val="1B1B1B"/>
          <w:szCs w:val="24"/>
          <w:lang w:eastAsia="pl-PL"/>
        </w:rPr>
        <w:t>Ziemacki</w:t>
      </w:r>
      <w:proofErr w:type="spellEnd"/>
      <w:r w:rsidRPr="007E4E2F">
        <w:rPr>
          <w:rFonts w:eastAsia="Times New Roman" w:cs="Arial"/>
          <w:color w:val="1B1B1B"/>
          <w:szCs w:val="24"/>
          <w:lang w:eastAsia="pl-PL"/>
        </w:rPr>
        <w:t xml:space="preserve"> oraz eksperci zewnętrzni Rafał Wawer i Tomasz Czech w najnowszym raporcie mierzą się z kwestią nowych technologii w obszarze rolnictwa. </w:t>
      </w:r>
    </w:p>
    <w:p w14:paraId="380A827B" w14:textId="2B04F3C3" w:rsidR="00152B4A" w:rsidRDefault="00152B4A" w:rsidP="00152B4A">
      <w:pPr>
        <w:pStyle w:val="Nagwek2"/>
      </w:pPr>
      <w:bookmarkStart w:id="2" w:name="_Toc206002984"/>
      <w:r>
        <w:t>Zakres publikacji</w:t>
      </w:r>
      <w:bookmarkEnd w:id="2"/>
    </w:p>
    <w:p w14:paraId="42C15968" w14:textId="693BD941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Szukają odpowiedzi m.in. na pytania:</w:t>
      </w:r>
    </w:p>
    <w:p w14:paraId="0E8FB2CA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Czym charakteryzuje się działalność innowacyjna i badawczo-rozwojowa przedsiębiorstw z obszaru rolnictwa w Polsce?</w:t>
      </w:r>
    </w:p>
    <w:p w14:paraId="39CAB837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Jakie są największe wyzwania i trudności rolnictwa i agrobiznesu w naszym kraju w obliczu Rolnictwa 4.0?</w:t>
      </w:r>
    </w:p>
    <w:p w14:paraId="3109DEBD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Co sprzyja wdrażaniu najnowszych technologii w gospodarstwach rolnych, a co ten proces hamuje?</w:t>
      </w:r>
    </w:p>
    <w:p w14:paraId="62B2BA72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 xml:space="preserve">Co nas czeka w najbliższej przyszłości, czyli jakie są </w:t>
      </w:r>
      <w:proofErr w:type="spellStart"/>
      <w:r w:rsidRPr="007E4E2F">
        <w:rPr>
          <w:rFonts w:eastAsia="Times New Roman" w:cs="Arial"/>
          <w:color w:val="1B1B1B"/>
          <w:szCs w:val="24"/>
          <w:lang w:eastAsia="pl-PL"/>
        </w:rPr>
        <w:t>megatrendy</w:t>
      </w:r>
      <w:proofErr w:type="spellEnd"/>
      <w:r w:rsidRPr="007E4E2F">
        <w:rPr>
          <w:rFonts w:eastAsia="Times New Roman" w:cs="Arial"/>
          <w:color w:val="1B1B1B"/>
          <w:szCs w:val="24"/>
          <w:lang w:eastAsia="pl-PL"/>
        </w:rPr>
        <w:t xml:space="preserve"> technologiczne, trendy w kształceniu twórców i użytkowników technologii 4.0 w rolnictwie oraz trendy w patentowaniu?</w:t>
      </w:r>
    </w:p>
    <w:p w14:paraId="7DA793AF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Jak spotęgować efekty i korzyści, które pociągają za sobą innowacje w rolnictwie ?</w:t>
      </w:r>
    </w:p>
    <w:p w14:paraId="20D98C79" w14:textId="77777777" w:rsidR="007E4E2F" w:rsidRPr="007E4E2F" w:rsidRDefault="007E4E2F" w:rsidP="00152B4A">
      <w:pPr>
        <w:numPr>
          <w:ilvl w:val="0"/>
          <w:numId w:val="14"/>
        </w:numPr>
        <w:shd w:val="clear" w:color="auto" w:fill="FFFFFF"/>
        <w:spacing w:line="240" w:lineRule="auto"/>
        <w:ind w:left="993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Jaka jest rola NCBR we wspieraniu projektów B+R w tej dziedzinie?</w:t>
      </w:r>
    </w:p>
    <w:p w14:paraId="54EEC703" w14:textId="77777777" w:rsidR="007E4E2F" w:rsidRPr="007E4E2F" w:rsidRDefault="007E4E2F" w:rsidP="007E4E2F">
      <w:pPr>
        <w:shd w:val="clear" w:color="auto" w:fill="FFFFFF"/>
        <w:spacing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ascii="inherit" w:eastAsia="Times New Roman" w:hAnsi="inherit" w:cs="Arial"/>
          <w:i/>
          <w:iCs/>
          <w:color w:val="1B1B1B"/>
          <w:szCs w:val="24"/>
          <w:lang w:eastAsia="pl-PL"/>
        </w:rPr>
        <w:t>– W ostatnich latach, korzystając z Funduszy Europejskich i środków krajowych, Narodowe Centrum Badań i Rozwoju wspiera innowacyjne projekty m.in. z zakresu wytwarzania i przetwórstwa żywności, produkcji pasz i nawozów, weterynarii i hodowli zwierząt. Oprócz tego współfinansujemy przyszłościowe rozwiązania rolnictwa precyzyjnego, obejmujące cyfryzację sektora rolnego, wykorzystanie robotów oraz zaawansowaną automatykę. Raport „Rolnictwo 4.0” wskazuje, że właśnie w tym kierunku należy podążać, aby podnieść poziom technologiczny polskiego rolnictwa oraz wzmocnić jego konkurencyjność</w:t>
      </w:r>
      <w:r w:rsidRPr="007E4E2F">
        <w:rPr>
          <w:rFonts w:eastAsia="Times New Roman" w:cs="Arial"/>
          <w:color w:val="1B1B1B"/>
          <w:szCs w:val="24"/>
          <w:lang w:eastAsia="pl-PL"/>
        </w:rPr>
        <w:t> – mówi dr Jacek Orzeł, p.o. dyrektor Narodowego Centrum Badań i Rozwoju.</w:t>
      </w:r>
      <w:r w:rsidRPr="007E4E2F">
        <w:rPr>
          <w:rFonts w:ascii="inherit" w:eastAsia="Times New Roman" w:hAnsi="inherit" w:cs="Arial"/>
          <w:i/>
          <w:iCs/>
          <w:color w:val="1B1B1B"/>
          <w:szCs w:val="24"/>
          <w:lang w:eastAsia="pl-PL"/>
        </w:rPr>
        <w:t> – Zgadzam się również z tezą, że chcąc sprostać wyzwaniom w obszarze rolnictwa i agrobiznesu, trzeba się kierować z jednej strony troską o bezpieczeństwo żywnościowe Polek i Polaków oraz dostosowywaniem profilu produkcji gospodarstw rolnych do wymagań rynku. Z drugiej zaś strony należy tak planować zastosowania nowych technologii, aby były spójne ze strategią Europejskiego Zielonego Ładu, wymogami ochrony środowiska i klimatu</w:t>
      </w:r>
      <w:r w:rsidRPr="007E4E2F">
        <w:rPr>
          <w:rFonts w:eastAsia="Times New Roman" w:cs="Arial"/>
          <w:color w:val="1B1B1B"/>
          <w:szCs w:val="24"/>
          <w:lang w:eastAsia="pl-PL"/>
        </w:rPr>
        <w:t> – dodaje.</w:t>
      </w:r>
    </w:p>
    <w:p w14:paraId="67559BC0" w14:textId="77777777" w:rsidR="007E4E2F" w:rsidRPr="007E4E2F" w:rsidRDefault="007E4E2F" w:rsidP="00152B4A">
      <w:pPr>
        <w:pStyle w:val="Nagwek1"/>
        <w:rPr>
          <w:rFonts w:eastAsia="Times New Roman"/>
          <w:lang w:eastAsia="pl-PL"/>
        </w:rPr>
      </w:pPr>
      <w:bookmarkStart w:id="3" w:name="_Toc206002985"/>
      <w:r w:rsidRPr="007E4E2F">
        <w:rPr>
          <w:rFonts w:eastAsia="Times New Roman"/>
          <w:lang w:eastAsia="pl-PL"/>
        </w:rPr>
        <w:t>Sztuczna inteligencja na polu</w:t>
      </w:r>
      <w:bookmarkEnd w:id="3"/>
    </w:p>
    <w:p w14:paraId="1ED6A4C5" w14:textId="2B7BE40C" w:rsidR="00152B4A" w:rsidRDefault="00152B4A" w:rsidP="00152B4A">
      <w:pPr>
        <w:pStyle w:val="Nagwek2"/>
      </w:pPr>
      <w:bookmarkStart w:id="4" w:name="_Toc206002986"/>
      <w:r w:rsidRPr="007E4E2F">
        <w:t>Cele badania</w:t>
      </w:r>
      <w:bookmarkEnd w:id="4"/>
      <w:r w:rsidRPr="007E4E2F">
        <w:t xml:space="preserve"> </w:t>
      </w:r>
    </w:p>
    <w:p w14:paraId="5A44F089" w14:textId="29C25228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Celem badania było przedstawienie trendów rozwojowych i perspektyw w zakresie Rolnictwa 4.0 oraz analiza polityki naukowo-technicznej i innowacyjnej państwa w tym obszarze.</w:t>
      </w:r>
    </w:p>
    <w:p w14:paraId="21CCA52B" w14:textId="77777777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 xml:space="preserve">Choć prowadzona w Polsce działalność innowacyjna i badawczo-rozwojowa przedsiębiorstw z obszaru Rolnictwa 4.0 charakteryzuje się stosunkowo niskimi nakładami finansowymi, to mamy spory potencjał w tym obszarze, diagnozują autorzy raportu. Intensywność nakładów na B+R ogółem (GERD) w rolnictwie – czyli relacja tego ile przeznaczono na badania i rozwój w dziedzinie nauk rolniczych i weterynaryjnych do produktu krajowego brutto – w 2020 roku osiągnęła wartość 0,06% PKB. Jednak należy zarazem wziąć pod uwagę, że Rolnictwo 4.0 stanowi </w:t>
      </w:r>
      <w:r w:rsidRPr="007E4E2F">
        <w:rPr>
          <w:rFonts w:eastAsia="Times New Roman" w:cs="Arial"/>
          <w:color w:val="1B1B1B"/>
          <w:szCs w:val="24"/>
          <w:lang w:eastAsia="pl-PL"/>
        </w:rPr>
        <w:lastRenderedPageBreak/>
        <w:t>składową Przemysłu 4.0, część technologii może mieć więc charakter uniwersalny i znajdować zastosowanie w innych obszarach. Oznacza to, że technologie opracowane pierwotnie dla innych zastosowań mogą zostać zaadaptowane i przystosowane do rozwiązań służących Rolnictwu 4.0. Z kolei w tych sektorach gospodarki, zauważają eksperci, nakłady na B+R są często znacznie większe, co uzupełnia lukę w obszarze finansowania innowacyjnych technologii przydatnych dla rolnictwa.</w:t>
      </w:r>
    </w:p>
    <w:p w14:paraId="769F3125" w14:textId="77777777" w:rsidR="00152B4A" w:rsidRDefault="00152B4A" w:rsidP="00152B4A">
      <w:pPr>
        <w:pStyle w:val="Nagwek2"/>
      </w:pPr>
      <w:bookmarkStart w:id="5" w:name="_Toc206002987"/>
      <w:r w:rsidRPr="007E4E2F">
        <w:t>Mapa drogowa</w:t>
      </w:r>
      <w:bookmarkEnd w:id="5"/>
      <w:r w:rsidRPr="007E4E2F">
        <w:t xml:space="preserve"> </w:t>
      </w:r>
    </w:p>
    <w:p w14:paraId="42E91D97" w14:textId="11229447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Mapa drogowa technologii przewiduje, że wszystkie zmiany technologiczne w rolnictwie będą napędzane przez zwiększoną łączność i przepustowość transmisji danych z wykorzystaniem szybkiego Internetu – sieci 5G, czytamy w raporcie. Przyczyni się to do zwiększenia wykorzystania czujników bezprzewodowych, a dane z czujników będą zbierane przy użyciu systemów big data, przez co digitalizacja procesów stanie się bardziej istotna. To z kolei umożliwi rozwój zintegrowanych systemów zarządzania gospodarstwem rolnym oraz ogniwem łańcucha dostaw. W przyszłości podstawowymi urządzeniami w rolnictwie będą również roboty, drony i urządzenia autonomiczne, które umożliwią zautomatyzowanie większości procesów. W tym zakresie kluczowymi technologiami są sztuczna inteligencja i uczenie maszynowe.</w:t>
      </w:r>
    </w:p>
    <w:p w14:paraId="042101D3" w14:textId="77777777" w:rsidR="007E4E2F" w:rsidRPr="007E4E2F" w:rsidRDefault="007E4E2F" w:rsidP="00152B4A">
      <w:pPr>
        <w:pStyle w:val="Nagwek1"/>
        <w:rPr>
          <w:rFonts w:eastAsia="Times New Roman"/>
          <w:lang w:eastAsia="pl-PL"/>
        </w:rPr>
      </w:pPr>
      <w:bookmarkStart w:id="6" w:name="_Toc206002988"/>
      <w:r w:rsidRPr="007E4E2F">
        <w:rPr>
          <w:rFonts w:eastAsia="Times New Roman"/>
          <w:lang w:eastAsia="pl-PL"/>
        </w:rPr>
        <w:t>Polskie innowacje dla rolnictwa</w:t>
      </w:r>
      <w:bookmarkEnd w:id="6"/>
    </w:p>
    <w:p w14:paraId="014FB893" w14:textId="77777777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Tego typu rozwiązania powstają także w Polsce. Mimo że nie dokonuje się to na masową skalę, to nasz kraj ma potencjał w obszarze innowacji rolniczych, o czym świadczą pojawiające się na rodzimym rynku innowacje polskich przedsiębiorców i naukowców, akcentują autorzy publikacji.</w:t>
      </w:r>
    </w:p>
    <w:p w14:paraId="6A68865D" w14:textId="77777777" w:rsidR="007E4E2F" w:rsidRPr="007E4E2F" w:rsidRDefault="007E4E2F" w:rsidP="007E4E2F">
      <w:pPr>
        <w:shd w:val="clear" w:color="auto" w:fill="FFFFFF"/>
        <w:spacing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Część z nich jest efektem projektów realizowanych pod skrzydłami NCBR. Jak na przykład innowacyjny system monitoringu bydła mięsnego, oparty o lokalizację GPS, montowany na uchu zwierzęcia. Wyniki projektu, dofinansowanego ze środków Funduszy Europejskich w ramach Programu Inteligentny Rozwój, udoskonaliły produkt </w:t>
      </w:r>
      <w:hyperlink r:id="rId13" w:history="1">
        <w:r w:rsidRPr="007E4E2F">
          <w:rPr>
            <w:rFonts w:eastAsia="Times New Roman" w:cs="Arial"/>
            <w:color w:val="0052A5"/>
            <w:szCs w:val="24"/>
            <w:u w:val="single"/>
            <w:lang w:eastAsia="pl-PL"/>
          </w:rPr>
          <w:t>e-stado</w:t>
        </w:r>
      </w:hyperlink>
      <w:r w:rsidRPr="007E4E2F">
        <w:rPr>
          <w:rFonts w:eastAsia="Times New Roman" w:cs="Arial"/>
          <w:color w:val="1B1B1B"/>
          <w:szCs w:val="24"/>
          <w:lang w:eastAsia="pl-PL"/>
        </w:rPr>
        <w:t>, czyli system monitorowania stada krów mlecznych. System opiera się na wykorzystaniu nowoczesnych technologii: biosensorów, sensorów oborowych i transmiterów radiowych, algorytmów sztucznej inteligencji, przetwarzania danych i bazy danych na serwerach w chmurze oraz Internetu rzeczy. Dostarcza hodowcy niezbędnych informacji o zdrowiu krów oraz ich cyklu rozrodu. Ponadto aplikacja służy do wysyłania powiadomień w przypadku zdarzeń krytycznych. Dostęp do systemu jest możliwy z dowolnego urządzenia z przeglądarką internetową.</w:t>
      </w:r>
    </w:p>
    <w:p w14:paraId="46F78902" w14:textId="77777777" w:rsidR="007E4E2F" w:rsidRPr="007E4E2F" w:rsidRDefault="007E4E2F" w:rsidP="007E4E2F">
      <w:pPr>
        <w:shd w:val="clear" w:color="auto" w:fill="FFFFFF"/>
        <w:spacing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Inny z przykładów umieszczonych w raporcie to </w:t>
      </w:r>
      <w:hyperlink r:id="rId14" w:history="1">
        <w:r w:rsidRPr="007E4E2F">
          <w:rPr>
            <w:rFonts w:eastAsia="Times New Roman" w:cs="Arial"/>
            <w:color w:val="0052A5"/>
            <w:szCs w:val="24"/>
            <w:u w:val="single"/>
            <w:lang w:eastAsia="pl-PL"/>
          </w:rPr>
          <w:t>projekt „Opracowanie innowacyjnej metody monitorowania stanu agrocenozy z wykorzystaniem teledetekcyjnego systemu wiatrakowca w aspekcie rolnictwa precyzyjnego”</w:t>
        </w:r>
      </w:hyperlink>
      <w:r w:rsidRPr="007E4E2F">
        <w:rPr>
          <w:rFonts w:eastAsia="Times New Roman" w:cs="Arial"/>
          <w:color w:val="1B1B1B"/>
          <w:szCs w:val="24"/>
          <w:lang w:eastAsia="pl-PL"/>
        </w:rPr>
        <w:t xml:space="preserve"> zgłoszony do NCBR w konkursie BIOSTRATEG. W jego efekcie członkowie konsorcjum naukowo-przemysłowego opracowali kompleksowe teledetekcyjne metody określania potrzeb zabiegów nawadniania, nawożenia oraz chemicznego zwalczania w kontekście wymagań i celów rolnictwa precyzyjnego. Teledetekcyjne badania lotnicze wykonywane są za pomocą kamery </w:t>
      </w:r>
      <w:proofErr w:type="spellStart"/>
      <w:r w:rsidRPr="007E4E2F">
        <w:rPr>
          <w:rFonts w:eastAsia="Times New Roman" w:cs="Arial"/>
          <w:color w:val="1B1B1B"/>
          <w:szCs w:val="24"/>
          <w:lang w:eastAsia="pl-PL"/>
        </w:rPr>
        <w:t>hiperspektralnej</w:t>
      </w:r>
      <w:proofErr w:type="spellEnd"/>
      <w:r w:rsidRPr="007E4E2F">
        <w:rPr>
          <w:rFonts w:eastAsia="Times New Roman" w:cs="Arial"/>
          <w:color w:val="1B1B1B"/>
          <w:szCs w:val="24"/>
          <w:lang w:eastAsia="pl-PL"/>
        </w:rPr>
        <w:t xml:space="preserve"> #</w:t>
      </w:r>
      <w:proofErr w:type="spellStart"/>
      <w:r w:rsidRPr="007E4E2F">
        <w:rPr>
          <w:rFonts w:eastAsia="Times New Roman" w:cs="Arial"/>
          <w:color w:val="1B1B1B"/>
          <w:szCs w:val="24"/>
          <w:lang w:eastAsia="pl-PL"/>
        </w:rPr>
        <w:t>HySpex</w:t>
      </w:r>
      <w:proofErr w:type="spellEnd"/>
      <w:r w:rsidRPr="007E4E2F">
        <w:rPr>
          <w:rFonts w:eastAsia="Times New Roman" w:cs="Arial"/>
          <w:color w:val="1B1B1B"/>
          <w:szCs w:val="24"/>
          <w:lang w:eastAsia="pl-PL"/>
        </w:rPr>
        <w:t xml:space="preserve">, umieszczonej na pokładzie ultralekkiego statku powietrznego – wiatrakowca. Innowacja ta umożliwi ograniczenie kosztów pozyskiwania danych o stanie pola czy łąki, a dane te będą znacznie bardziej reprezentatywne od zbieranych tradycyjnymi metodami. </w:t>
      </w:r>
      <w:r w:rsidRPr="007E4E2F">
        <w:rPr>
          <w:rFonts w:eastAsia="Times New Roman" w:cs="Arial"/>
          <w:color w:val="1B1B1B"/>
          <w:szCs w:val="24"/>
          <w:lang w:eastAsia="pl-PL"/>
        </w:rPr>
        <w:lastRenderedPageBreak/>
        <w:t xml:space="preserve">Dodatkowo skalibrowany i </w:t>
      </w:r>
      <w:proofErr w:type="spellStart"/>
      <w:r w:rsidRPr="007E4E2F">
        <w:rPr>
          <w:rFonts w:eastAsia="Times New Roman" w:cs="Arial"/>
          <w:color w:val="1B1B1B"/>
          <w:szCs w:val="24"/>
          <w:lang w:eastAsia="pl-PL"/>
        </w:rPr>
        <w:t>zwalidowany</w:t>
      </w:r>
      <w:proofErr w:type="spellEnd"/>
      <w:r w:rsidRPr="007E4E2F">
        <w:rPr>
          <w:rFonts w:eastAsia="Times New Roman" w:cs="Arial"/>
          <w:color w:val="1B1B1B"/>
          <w:szCs w:val="24"/>
          <w:lang w:eastAsia="pl-PL"/>
        </w:rPr>
        <w:t xml:space="preserve"> system pozwoli na skorzystanie ze wszystkich zalet precyzyjnego rolnictwa, np. na dostosowanie dawek środków chemicznych do realnych potrzeb konkretnych lokalizacji na polu.</w:t>
      </w:r>
    </w:p>
    <w:p w14:paraId="214FF442" w14:textId="77777777" w:rsidR="007E4E2F" w:rsidRPr="007E4E2F" w:rsidRDefault="007E4E2F" w:rsidP="00152B4A">
      <w:pPr>
        <w:pStyle w:val="Nagwek1"/>
        <w:rPr>
          <w:rFonts w:eastAsia="Times New Roman"/>
          <w:lang w:eastAsia="pl-PL"/>
        </w:rPr>
      </w:pPr>
      <w:bookmarkStart w:id="7" w:name="_Toc206002989"/>
      <w:r w:rsidRPr="007E4E2F">
        <w:rPr>
          <w:rFonts w:eastAsia="Times New Roman"/>
          <w:lang w:eastAsia="pl-PL"/>
        </w:rPr>
        <w:t>Jak wspierać rozwój Rolnictwa 4.0?</w:t>
      </w:r>
      <w:bookmarkEnd w:id="7"/>
    </w:p>
    <w:p w14:paraId="451544AC" w14:textId="77777777" w:rsidR="00152B4A" w:rsidRDefault="00152B4A" w:rsidP="00152B4A">
      <w:pPr>
        <w:pStyle w:val="Nagwek2"/>
      </w:pPr>
      <w:bookmarkStart w:id="8" w:name="_Toc206002990"/>
      <w:r>
        <w:t>Eksperci</w:t>
      </w:r>
      <w:bookmarkEnd w:id="8"/>
    </w:p>
    <w:p w14:paraId="135A5C59" w14:textId="157859AF" w:rsidR="007E4E2F" w:rsidRPr="007E4E2F" w:rsidRDefault="007E4E2F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>Eksperci NCBR podkreślają, że w polskim rolnictwie obserwujemy przemiany strukturalne oraz proces koncentracji zasobów produkcyjnych. Pozytywne zmiany dostrzegają wśród samych rolników, którzy są coraz lepiej wykształceni i interesują się nowymi technologiami. A te umożliwiają im wdrożenie nowych praktyk w gospodarstwach, poza zakresem, który dało się obsłużyć za pomocą dotychczasowej „analogowej” wiedzy i dobrze sprawdzonych metod. Zwiększa się nacisk na innowacje w dziedzinie sztucznej inteligencji, automatyzacji, robotyzacji oraz cyfryzacji – jako technologii o najniższym progu wejścia.</w:t>
      </w:r>
    </w:p>
    <w:p w14:paraId="72B81FA6" w14:textId="77777777" w:rsidR="00152B4A" w:rsidRDefault="00152B4A" w:rsidP="00152B4A">
      <w:pPr>
        <w:pStyle w:val="Nagwek2"/>
      </w:pPr>
      <w:bookmarkStart w:id="9" w:name="_Toc206002991"/>
      <w:r w:rsidRPr="007E4E2F">
        <w:t>Autorzy raportu</w:t>
      </w:r>
      <w:bookmarkEnd w:id="9"/>
      <w:r w:rsidRPr="007E4E2F">
        <w:t xml:space="preserve"> </w:t>
      </w:r>
    </w:p>
    <w:p w14:paraId="0C958A0B" w14:textId="312850FF" w:rsidR="007E4E2F" w:rsidRPr="007E4E2F" w:rsidRDefault="00152B4A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 xml:space="preserve">Autorzy raportu </w:t>
      </w:r>
      <w:r w:rsidR="007E4E2F" w:rsidRPr="007E4E2F">
        <w:rPr>
          <w:rFonts w:eastAsia="Times New Roman" w:cs="Arial"/>
          <w:color w:val="1B1B1B"/>
          <w:szCs w:val="24"/>
          <w:lang w:eastAsia="pl-PL"/>
        </w:rPr>
        <w:t>„Rolnictwo 4.0. Identyfikacja trendów technologicznych” nie mają wątpliwości, że w kontekście przyszłości ważne jest wspieranie i dzielenie się wiedzą, innowacjami oraz cyfryzacją w rolnictwie i na obszarach wiejskich. Dzięki temu zwiększa się szanse na dostosowanie profilu produkcji gospodarstw rolnych do wymagań rynku, ich specjalizację, zwiększenie wydajności oraz spełnienie licznych norm, w tym środowiskowych, określonych w krajowych i międzynarodowych dokumentach strategicznych.</w:t>
      </w:r>
    </w:p>
    <w:p w14:paraId="6ACA522A" w14:textId="77777777" w:rsidR="00152B4A" w:rsidRDefault="00152B4A" w:rsidP="00152B4A">
      <w:pPr>
        <w:pStyle w:val="Nagwek2"/>
      </w:pPr>
      <w:bookmarkStart w:id="10" w:name="_Toc206002992"/>
      <w:r w:rsidRPr="007E4E2F">
        <w:t>Rekomendacje</w:t>
      </w:r>
      <w:bookmarkEnd w:id="10"/>
    </w:p>
    <w:p w14:paraId="5FDD74F4" w14:textId="01ECCABC" w:rsidR="007E4E2F" w:rsidRDefault="00152B4A" w:rsidP="007E4E2F">
      <w:pPr>
        <w:shd w:val="clear" w:color="auto" w:fill="FFFFFF"/>
        <w:spacing w:after="240"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eastAsia="Times New Roman" w:cs="Arial"/>
          <w:color w:val="1B1B1B"/>
          <w:szCs w:val="24"/>
          <w:lang w:eastAsia="pl-PL"/>
        </w:rPr>
        <w:t xml:space="preserve">Rekomendacje </w:t>
      </w:r>
      <w:r w:rsidR="007E4E2F" w:rsidRPr="007E4E2F">
        <w:rPr>
          <w:rFonts w:eastAsia="Times New Roman" w:cs="Arial"/>
          <w:color w:val="1B1B1B"/>
          <w:szCs w:val="24"/>
          <w:lang w:eastAsia="pl-PL"/>
        </w:rPr>
        <w:t>w zakresie ukierunkowania wsparcia rozwoju Rolnictwa 4.0 skierowane do podmiotów działających w tym obszarze dotyczą trzech głównych wymiarów. Pierwszy z nich to dostęp do wiedzy i edukacji, gdzie szczególnie istotne jest podnoszenie kwalifikacji i kompetencji cyfrowych poprzez włączanie tematyki technologii 4.0 do programów kształcenia dla pracowników sektora rolno-spożywczego, począwszy od najniższych poziomów edukacji, a także szerokie prezentowanie innowacyjnych rozwiązań i zapewnienie rolnikom eksperckiej wiedzy z tego zakresu, m.in. poprzez wykorzystanie systemu doradztwa rolniczego w regionach. Drugi ważny segment to infrastruktura technologiczna – tu wyzwaniem jest m.in. dopasowanie pod względem technicznym i ekonomicznym usług Rolnictwa 4.0 z uwzględnieniem struktury gospodarstw rolnych w Polsce. Trzeci aspekt, na który zwraca uwagę raport, to finansowanie działalności innowacyjnej, z naciskiem na budowanie warunków do dobrej współpracy przedsiębiorców z jednostkami naukowymi. Dla wzmocnienia szans rozwojowych polskiego rolnictwa eksperci uważają za ważne finansowanie zarówno innowacji przyrostowych, czyli takich, gdy produktowi, który już istnieje na rynku, nadaje się wartość dodaną, jak i przełomowych.</w:t>
      </w:r>
    </w:p>
    <w:p w14:paraId="742A3FF9" w14:textId="4308CA7D" w:rsidR="00152B4A" w:rsidRPr="007E4E2F" w:rsidRDefault="00152B4A" w:rsidP="00152B4A">
      <w:pPr>
        <w:pStyle w:val="Nagwek3"/>
      </w:pPr>
      <w:bookmarkStart w:id="11" w:name="_Toc206002993"/>
      <w:r>
        <w:t>Pobierz raport</w:t>
      </w:r>
      <w:bookmarkEnd w:id="11"/>
    </w:p>
    <w:p w14:paraId="4DDC8DE1" w14:textId="77777777" w:rsidR="007E4E2F" w:rsidRPr="007E4E2F" w:rsidRDefault="007E4E2F" w:rsidP="00152B4A">
      <w:pPr>
        <w:rPr>
          <w:lang w:eastAsia="pl-PL"/>
        </w:rPr>
      </w:pPr>
      <w:r w:rsidRPr="007E4E2F">
        <w:rPr>
          <w:lang w:eastAsia="pl-PL"/>
        </w:rPr>
        <w:lastRenderedPageBreak/>
        <w:t>Raport „Rolnictwo 4.0. Identyfikacja trendów technologicznych” można pobrać na</w:t>
      </w:r>
      <w:hyperlink r:id="rId15" w:history="1">
        <w:r w:rsidRPr="007E4E2F">
          <w:rPr>
            <w:color w:val="0052A5"/>
            <w:u w:val="single"/>
            <w:lang w:eastAsia="pl-PL"/>
          </w:rPr>
          <w:t> stronie NCBR</w:t>
        </w:r>
      </w:hyperlink>
      <w:r w:rsidRPr="007E4E2F">
        <w:rPr>
          <w:lang w:eastAsia="pl-PL"/>
        </w:rPr>
        <w:t>.</w:t>
      </w:r>
    </w:p>
    <w:p w14:paraId="213BD764" w14:textId="77777777" w:rsidR="007E4E2F" w:rsidRPr="007E4E2F" w:rsidRDefault="007E4E2F" w:rsidP="007E4E2F">
      <w:pPr>
        <w:shd w:val="clear" w:color="auto" w:fill="FFFFFF"/>
        <w:spacing w:line="240" w:lineRule="auto"/>
        <w:textAlignment w:val="baseline"/>
        <w:rPr>
          <w:rFonts w:eastAsia="Times New Roman" w:cs="Arial"/>
          <w:color w:val="1B1B1B"/>
          <w:szCs w:val="24"/>
          <w:lang w:eastAsia="pl-PL"/>
        </w:rPr>
      </w:pPr>
      <w:r w:rsidRPr="007E4E2F">
        <w:rPr>
          <w:rFonts w:ascii="inherit" w:eastAsia="Times New Roman" w:hAnsi="inherit" w:cs="Arial"/>
          <w:i/>
          <w:iCs/>
          <w:color w:val="1B1B1B"/>
          <w:szCs w:val="24"/>
          <w:lang w:eastAsia="pl-PL"/>
        </w:rPr>
        <w:t>Raport jest współfinansowany ze środków Unii Europejskiej w ramach Europejskiego Funduszu Rozwoju Regionalnego.</w:t>
      </w:r>
    </w:p>
    <w:p w14:paraId="0999B21B" w14:textId="77777777" w:rsidR="007E4E2F" w:rsidRPr="00BB0499" w:rsidRDefault="007E4E2F" w:rsidP="00BB0499"/>
    <w:sectPr w:rsidR="007E4E2F" w:rsidRPr="00BB0499" w:rsidSect="00E3501B">
      <w:headerReference w:type="default" r:id="rId16"/>
      <w:footerReference w:type="default" r:id="rId17"/>
      <w:pgSz w:w="11906" w:h="16838"/>
      <w:pgMar w:top="1417" w:right="1417" w:bottom="993" w:left="1417" w:header="708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11437" w14:textId="77777777" w:rsidR="008921A9" w:rsidRDefault="008921A9" w:rsidP="002C7BD6">
      <w:pPr>
        <w:spacing w:line="240" w:lineRule="auto"/>
      </w:pPr>
      <w:r>
        <w:separator/>
      </w:r>
    </w:p>
  </w:endnote>
  <w:endnote w:type="continuationSeparator" w:id="0">
    <w:p w14:paraId="5EFD2635" w14:textId="77777777" w:rsidR="008921A9" w:rsidRDefault="008921A9" w:rsidP="002C7B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F3CD3" w14:textId="77777777" w:rsidR="0000726C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315E8A8" wp14:editId="0315E8A9">
              <wp:simplePos x="0" y="0"/>
              <wp:positionH relativeFrom="column">
                <wp:posOffset>5951220</wp:posOffset>
              </wp:positionH>
              <wp:positionV relativeFrom="paragraph">
                <wp:posOffset>11554</wp:posOffset>
              </wp:positionV>
              <wp:extent cx="409575" cy="1404620"/>
              <wp:effectExtent l="0" t="0" r="0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15E8AA" w14:textId="77777777" w:rsidR="00E3501B" w:rsidRPr="0089515B" w:rsidRDefault="00E3501B" w:rsidP="00E3501B">
                          <w:pPr>
                            <w:spacing w:line="240" w:lineRule="auto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instrText>PAGE   \* MERGEFORMAT</w:instrTex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t>1</w: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15E8A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8.6pt;margin-top:.9pt;width:32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" filled="f" stroked="f">
              <v:textbox style="mso-fit-shape-to-text:t">
                <w:txbxContent>
                  <w:p w14:paraId="0315E8AA" w14:textId="77777777" w:rsidR="00E3501B" w:rsidRPr="0089515B" w:rsidRDefault="00E3501B" w:rsidP="00E3501B">
                    <w:pPr>
                      <w:spacing w:line="240" w:lineRule="auto"/>
                      <w:jc w:val="right"/>
                      <w:rPr>
                        <w:sz w:val="16"/>
                        <w:szCs w:val="16"/>
                      </w:rPr>
                    </w:pPr>
                    <w:r w:rsidRPr="0089515B">
                      <w:rPr>
                        <w:sz w:val="16"/>
                        <w:szCs w:val="16"/>
                      </w:rPr>
                      <w:fldChar w:fldCharType="begin"/>
                    </w:r>
                    <w:r w:rsidRPr="0089515B">
                      <w:rPr>
                        <w:sz w:val="16"/>
                        <w:szCs w:val="16"/>
                      </w:rPr>
                      <w:instrText>PAGE   \* MERGEFORMAT</w:instrText>
                    </w:r>
                    <w:r w:rsidRPr="0089515B">
                      <w:rPr>
                        <w:sz w:val="16"/>
                        <w:szCs w:val="16"/>
                      </w:rPr>
                      <w:fldChar w:fldCharType="separate"/>
                    </w:r>
                    <w:r w:rsidRPr="0089515B">
                      <w:rPr>
                        <w:sz w:val="16"/>
                        <w:szCs w:val="16"/>
                      </w:rPr>
                      <w:t>1</w:t>
                    </w:r>
                    <w:r w:rsidRPr="0089515B"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3501B">
      <w:rPr>
        <w:rFonts w:ascii="Calibri" w:eastAsia="Calibri" w:hAnsi="Calibri" w:cs="Calibri"/>
        <w:sz w:val="14"/>
        <w:szCs w:val="14"/>
      </w:rPr>
      <w:t>Projekt współfinansowany z Europejskiego Funduszu Społecznego Plus w ramach Programu Fundusze Europejskie dla Rozwoju Społecznego 2021-2027,</w:t>
    </w:r>
  </w:p>
  <w:p w14:paraId="0315E8A4" w14:textId="450BAC56" w:rsidR="00E3501B" w:rsidRPr="00E3501B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sz w:val="14"/>
        <w:szCs w:val="14"/>
      </w:rPr>
      <w:t>Priorytet 1 Umiejętności, Działanie 01.05 Umiejętności w szkolnictwie wyższym.</w:t>
    </w:r>
  </w:p>
  <w:p w14:paraId="0315E8A5" w14:textId="77777777" w:rsidR="00E60781" w:rsidRPr="00E3501B" w:rsidRDefault="00E3501B" w:rsidP="00E3501B">
    <w:pPr>
      <w:pStyle w:val="Stopka"/>
      <w:tabs>
        <w:tab w:val="clear" w:pos="4536"/>
        <w:tab w:val="clear" w:pos="9072"/>
        <w:tab w:val="left" w:pos="2001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3B598" w14:textId="77777777" w:rsidR="008921A9" w:rsidRDefault="008921A9" w:rsidP="002C7BD6">
      <w:pPr>
        <w:spacing w:line="240" w:lineRule="auto"/>
      </w:pPr>
      <w:r>
        <w:separator/>
      </w:r>
    </w:p>
  </w:footnote>
  <w:footnote w:type="continuationSeparator" w:id="0">
    <w:p w14:paraId="49CFF2AE" w14:textId="77777777" w:rsidR="008921A9" w:rsidRDefault="008921A9" w:rsidP="002C7B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5E8A3" w14:textId="77777777" w:rsidR="002C7BD6" w:rsidRDefault="002C7BD6" w:rsidP="002C7BD6">
    <w:pPr>
      <w:pStyle w:val="Nagwek"/>
      <w:ind w:left="-1276" w:firstLine="142"/>
      <w:jc w:val="both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315E8A6" wp14:editId="0315E8A7">
          <wp:simplePos x="0" y="0"/>
          <wp:positionH relativeFrom="column">
            <wp:posOffset>-834176</wp:posOffset>
          </wp:positionH>
          <wp:positionV relativeFrom="paragraph">
            <wp:posOffset>-194673</wp:posOffset>
          </wp:positionV>
          <wp:extent cx="7322185" cy="487680"/>
          <wp:effectExtent l="0" t="0" r="0" b="7620"/>
          <wp:wrapNone/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3FBA"/>
    <w:multiLevelType w:val="multilevel"/>
    <w:tmpl w:val="282C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77E43"/>
    <w:multiLevelType w:val="multilevel"/>
    <w:tmpl w:val="2418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65E58"/>
    <w:multiLevelType w:val="multilevel"/>
    <w:tmpl w:val="5EF67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05005"/>
    <w:multiLevelType w:val="multilevel"/>
    <w:tmpl w:val="1820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F33D79"/>
    <w:multiLevelType w:val="hybridMultilevel"/>
    <w:tmpl w:val="0D7C8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46AB1"/>
    <w:multiLevelType w:val="multilevel"/>
    <w:tmpl w:val="A300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4A7AA4"/>
    <w:multiLevelType w:val="multilevel"/>
    <w:tmpl w:val="5C16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1731D0"/>
    <w:multiLevelType w:val="multilevel"/>
    <w:tmpl w:val="8E7A5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960D23"/>
    <w:multiLevelType w:val="multilevel"/>
    <w:tmpl w:val="4FC0C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677706"/>
    <w:multiLevelType w:val="multilevel"/>
    <w:tmpl w:val="CDDE3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3B190E"/>
    <w:multiLevelType w:val="multilevel"/>
    <w:tmpl w:val="D26AE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7975F6"/>
    <w:multiLevelType w:val="multilevel"/>
    <w:tmpl w:val="48A2C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137CD6"/>
    <w:multiLevelType w:val="multilevel"/>
    <w:tmpl w:val="FB8EFBEA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81E600D"/>
    <w:multiLevelType w:val="multilevel"/>
    <w:tmpl w:val="1F9E5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3"/>
  </w:num>
  <w:num w:numId="3">
    <w:abstractNumId w:val="8"/>
  </w:num>
  <w:num w:numId="4">
    <w:abstractNumId w:val="7"/>
  </w:num>
  <w:num w:numId="5">
    <w:abstractNumId w:val="0"/>
  </w:num>
  <w:num w:numId="6">
    <w:abstractNumId w:val="1"/>
  </w:num>
  <w:num w:numId="7">
    <w:abstractNumId w:val="11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5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BC1"/>
    <w:rsid w:val="0000726C"/>
    <w:rsid w:val="00062A9C"/>
    <w:rsid w:val="00091202"/>
    <w:rsid w:val="0013184F"/>
    <w:rsid w:val="00152B4A"/>
    <w:rsid w:val="001C3C87"/>
    <w:rsid w:val="001C4D25"/>
    <w:rsid w:val="001D4754"/>
    <w:rsid w:val="00200FFA"/>
    <w:rsid w:val="002C7BD6"/>
    <w:rsid w:val="003025C1"/>
    <w:rsid w:val="004907E3"/>
    <w:rsid w:val="004B0AE2"/>
    <w:rsid w:val="005029B4"/>
    <w:rsid w:val="005A1813"/>
    <w:rsid w:val="005C0559"/>
    <w:rsid w:val="005D21B0"/>
    <w:rsid w:val="006F0FBF"/>
    <w:rsid w:val="00704A2E"/>
    <w:rsid w:val="007D49F1"/>
    <w:rsid w:val="007E00A0"/>
    <w:rsid w:val="007E4E2F"/>
    <w:rsid w:val="00831F18"/>
    <w:rsid w:val="008921A9"/>
    <w:rsid w:val="00906A1F"/>
    <w:rsid w:val="009B37EE"/>
    <w:rsid w:val="009B5990"/>
    <w:rsid w:val="00A273A1"/>
    <w:rsid w:val="00AD7625"/>
    <w:rsid w:val="00B040DA"/>
    <w:rsid w:val="00B67EE1"/>
    <w:rsid w:val="00B837E2"/>
    <w:rsid w:val="00BB0499"/>
    <w:rsid w:val="00BC4989"/>
    <w:rsid w:val="00C00BC1"/>
    <w:rsid w:val="00C86CF4"/>
    <w:rsid w:val="00CB600D"/>
    <w:rsid w:val="00D5343D"/>
    <w:rsid w:val="00E14CF0"/>
    <w:rsid w:val="00E3501B"/>
    <w:rsid w:val="00E60781"/>
    <w:rsid w:val="00F46F21"/>
    <w:rsid w:val="00F562A7"/>
    <w:rsid w:val="00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315E89E"/>
  <w15:chartTrackingRefBased/>
  <w15:docId w15:val="{C5616E1C-D1DB-4918-BA23-FA6869FB5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F0FBF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52B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E4E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7E4E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BD6"/>
  </w:style>
  <w:style w:type="paragraph" w:styleId="Stopka">
    <w:name w:val="footer"/>
    <w:basedOn w:val="Normalny"/>
    <w:link w:val="Stopka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BD6"/>
  </w:style>
  <w:style w:type="paragraph" w:styleId="Akapitzlist">
    <w:name w:val="List Paragraph"/>
    <w:basedOn w:val="Normalny"/>
    <w:uiPriority w:val="34"/>
    <w:qFormat/>
    <w:rsid w:val="005D21B0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7E4E2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E4E2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event-date">
    <w:name w:val="event-date"/>
    <w:basedOn w:val="Normalny"/>
    <w:rsid w:val="007E4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paragraph" w:customStyle="1" w:styleId="intro">
    <w:name w:val="intro"/>
    <w:basedOn w:val="Normalny"/>
    <w:rsid w:val="007E4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E4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E4E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7E4E2F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E4E2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152B4A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2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152B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egenda">
    <w:name w:val="caption"/>
    <w:basedOn w:val="Normalny"/>
    <w:next w:val="Normalny"/>
    <w:uiPriority w:val="35"/>
    <w:unhideWhenUsed/>
    <w:qFormat/>
    <w:rsid w:val="00152B4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152B4A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152B4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152B4A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39"/>
    <w:unhideWhenUsed/>
    <w:rsid w:val="00152B4A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-stado.pl/projekt-e-stado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pl/web/ncbr/rolnictwo-40--poczatek-rewolucji-raport-ncbr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gov.pl/web/ncbr/rolnictwo-40-identyfikacja-trendow-technologicznych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or.poznan.pl/1105,biostrateg-ii-gyrosca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3a7bb896-b877-4fc5-9c26-9e0c8ea57ac1" xsi:nil="true"/>
    <CultureName xmlns="3a7bb896-b877-4fc5-9c26-9e0c8ea57ac1" xsi:nil="true"/>
    <Owner xmlns="3a7bb896-b877-4fc5-9c26-9e0c8ea57ac1">
      <UserInfo>
        <DisplayName/>
        <AccountId xsi:nil="true"/>
        <AccountType/>
      </UserInfo>
    </Owner>
    <Students xmlns="3a7bb896-b877-4fc5-9c26-9e0c8ea57ac1">
      <UserInfo>
        <DisplayName/>
        <AccountId xsi:nil="true"/>
        <AccountType/>
      </UserInfo>
    </Students>
    <Invited_Students xmlns="3a7bb896-b877-4fc5-9c26-9e0c8ea57ac1" xsi:nil="true"/>
    <Math_Settings xmlns="3a7bb896-b877-4fc5-9c26-9e0c8ea57ac1" xsi:nil="true"/>
    <Templates xmlns="3a7bb896-b877-4fc5-9c26-9e0c8ea57ac1" xsi:nil="true"/>
    <Teachers xmlns="3a7bb896-b877-4fc5-9c26-9e0c8ea57ac1">
      <UserInfo>
        <DisplayName/>
        <AccountId xsi:nil="true"/>
        <AccountType/>
      </UserInfo>
    </Teachers>
    <AppVersion xmlns="3a7bb896-b877-4fc5-9c26-9e0c8ea57ac1" xsi:nil="true"/>
    <LMS_Mappings xmlns="3a7bb896-b877-4fc5-9c26-9e0c8ea57ac1" xsi:nil="true"/>
    <Invited_Teachers xmlns="3a7bb896-b877-4fc5-9c26-9e0c8ea57ac1" xsi:nil="true"/>
    <DefaultSectionNames xmlns="3a7bb896-b877-4fc5-9c26-9e0c8ea57ac1" xsi:nil="true"/>
    <Is_Collaboration_Space_Locked xmlns="3a7bb896-b877-4fc5-9c26-9e0c8ea57ac1" xsi:nil="true"/>
    <Teams_Channel_Section_Location xmlns="3a7bb896-b877-4fc5-9c26-9e0c8ea57ac1" xsi:nil="true"/>
    <Self_Registration_Enabled xmlns="3a7bb896-b877-4fc5-9c26-9e0c8ea57ac1" xsi:nil="true"/>
    <FolderType xmlns="3a7bb896-b877-4fc5-9c26-9e0c8ea57ac1" xsi:nil="true"/>
    <_activity xmlns="3a7bb896-b877-4fc5-9c26-9e0c8ea57ac1" xsi:nil="true"/>
    <NotebookType xmlns="3a7bb896-b877-4fc5-9c26-9e0c8ea57ac1" xsi:nil="true"/>
    <Student_Groups xmlns="3a7bb896-b877-4fc5-9c26-9e0c8ea57ac1">
      <UserInfo>
        <DisplayName/>
        <AccountId xsi:nil="true"/>
        <AccountType/>
      </UserInfo>
    </Student_Groups>
    <Distribution_Groups xmlns="3a7bb896-b877-4fc5-9c26-9e0c8ea57ac1" xsi:nil="true"/>
    <TeamsChannelId xmlns="3a7bb896-b877-4fc5-9c26-9e0c8ea57ac1" xsi:nil="true"/>
    <IsNotebookLocked xmlns="3a7bb896-b877-4fc5-9c26-9e0c8ea57ac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39" ma:contentTypeDescription="Utwórz nowy dokument." ma:contentTypeScope="" ma:versionID="66640f4cbf34ac64a1f4fb34785b3cc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196485ad78d08d68e96a396c2b822c0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Teams_Channel_Section_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Teams_Channel_Section_Location" ma:index="43" nillable="true" ma:displayName="Teams Channel Section Location" ma:internalName="Teams_Channel_Section_Location">
      <xsd:simpleType>
        <xsd:restriction base="dms:Text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4EB56-1D70-4A9A-A220-35E987B39A35}">
  <ds:schemaRefs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a7bb896-b877-4fc5-9c26-9e0c8ea57ac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A65BB2F-F7CB-4A58-A34B-6F5ADF27F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B46016-B96E-4713-8B83-212C07224F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F00BAB-3418-4FA5-8BA5-9678978D6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1581</Words>
  <Characters>9487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Krośnicka-Trzcińska</dc:creator>
  <cp:keywords/>
  <dc:description/>
  <cp:lastModifiedBy>Leszek Sieczko</cp:lastModifiedBy>
  <cp:revision>4</cp:revision>
  <dcterms:created xsi:type="dcterms:W3CDTF">2025-08-13T16:36:00Z</dcterms:created>
  <dcterms:modified xsi:type="dcterms:W3CDTF">2025-08-16T10:18:00Z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